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1FB" w:rsidRPr="00D624AD" w:rsidRDefault="002701FB" w:rsidP="00D624AD">
      <w:pPr>
        <w:pStyle w:val="Heading1"/>
      </w:pPr>
      <w:r w:rsidRPr="00D624AD">
        <w:t>Chapter 12 - Test Bank</w:t>
      </w:r>
    </w:p>
    <w:p w:rsidR="002701FB" w:rsidRPr="002061BC" w:rsidRDefault="002701FB" w:rsidP="00D57FB3">
      <w:pPr>
        <w:pStyle w:val="Heading3"/>
        <w:tabs>
          <w:tab w:val="left" w:pos="6131"/>
        </w:tabs>
      </w:pPr>
      <w:bookmarkStart w:id="0" w:name="C12MCQ"/>
      <w:r w:rsidRPr="002061BC">
        <w:t xml:space="preserve">  </w:t>
      </w:r>
      <w:bookmarkStart w:id="1" w:name="_Toc320540453"/>
      <w:r w:rsidRPr="002061BC">
        <w:t>Multiple-choice questions</w:t>
      </w:r>
      <w:bookmarkEnd w:id="1"/>
      <w:r w:rsidRPr="002061BC">
        <w:tab/>
      </w:r>
    </w:p>
    <w:bookmarkEnd w:id="0"/>
    <w:p w:rsidR="002701FB" w:rsidRPr="00292B10" w:rsidRDefault="002701FB" w:rsidP="00D57FB3">
      <w:pPr>
        <w:ind w:right="-897"/>
        <w:jc w:val="right"/>
        <w:rPr>
          <w:rStyle w:val="Hyperlink"/>
          <w:sz w:val="20"/>
        </w:rPr>
      </w:pPr>
      <w:r>
        <w:rPr>
          <w:sz w:val="20"/>
        </w:rPr>
        <w:fldChar w:fldCharType="begin"/>
      </w:r>
      <w:r>
        <w:rPr>
          <w:sz w:val="20"/>
        </w:rPr>
        <w:instrText xml:space="preserve"> HYPERLINK  \l "AC12MCQ" </w:instrText>
      </w:r>
      <w:r>
        <w:rPr>
          <w:sz w:val="20"/>
        </w:rPr>
        <w:fldChar w:fldCharType="separate"/>
      </w:r>
      <w:r w:rsidRPr="00292B10">
        <w:rPr>
          <w:rStyle w:val="Hyperlink"/>
          <w:sz w:val="20"/>
        </w:rPr>
        <w:t xml:space="preserve">Go to  </w:t>
      </w:r>
      <w:r w:rsidRPr="00292B10">
        <w:rPr>
          <w:rStyle w:val="Hyperlink"/>
          <w:sz w:val="24"/>
        </w:rPr>
        <w:sym w:font="Wingdings" w:char="F0F0"/>
      </w:r>
      <w:r w:rsidRPr="00292B10">
        <w:rPr>
          <w:rStyle w:val="Hyperlink"/>
          <w:sz w:val="20"/>
        </w:rPr>
        <w:t xml:space="preserve"> Multiple choice questions - Memorandum</w:t>
      </w:r>
    </w:p>
    <w:p w:rsidR="002701FB" w:rsidRPr="002061BC" w:rsidRDefault="002701FB" w:rsidP="00436ED2">
      <w:pPr>
        <w:rPr>
          <w:i/>
        </w:rPr>
      </w:pPr>
      <w:r>
        <w:rPr>
          <w:sz w:val="20"/>
        </w:rPr>
        <w:fldChar w:fldCharType="end"/>
      </w:r>
      <w:r w:rsidRPr="002061BC">
        <w:rPr>
          <w:i/>
        </w:rPr>
        <w:t>Answer the following questions by selecting the appropriate answer from the list below.</w:t>
      </w:r>
    </w:p>
    <w:p w:rsidR="002701FB" w:rsidRPr="008256ED" w:rsidRDefault="002701FB" w:rsidP="002701FB">
      <w:pPr>
        <w:pStyle w:val="Heading4"/>
        <w:numPr>
          <w:ilvl w:val="0"/>
          <w:numId w:val="8"/>
        </w:numPr>
      </w:pPr>
    </w:p>
    <w:p w:rsidR="002701FB" w:rsidRPr="006E57DA" w:rsidRDefault="002701FB" w:rsidP="00436ED2">
      <w:pPr>
        <w:rPr>
          <w:b/>
        </w:rPr>
      </w:pPr>
      <w:r w:rsidRPr="006E57DA">
        <w:rPr>
          <w:b/>
        </w:rPr>
        <w:t>Market capitalisation can be defined as which ONE of the following?</w:t>
      </w:r>
    </w:p>
    <w:p w:rsidR="002701FB" w:rsidRPr="008256ED" w:rsidRDefault="002701FB" w:rsidP="002701FB">
      <w:pPr>
        <w:pStyle w:val="ListParagraph"/>
        <w:numPr>
          <w:ilvl w:val="0"/>
          <w:numId w:val="12"/>
        </w:numPr>
      </w:pPr>
      <w:r w:rsidRPr="008256ED">
        <w:t>The total number of authorised shares multiplied by the current share price</w:t>
      </w:r>
    </w:p>
    <w:p w:rsidR="002701FB" w:rsidRPr="008256ED" w:rsidRDefault="002701FB" w:rsidP="002701FB">
      <w:pPr>
        <w:pStyle w:val="ListParagraph"/>
        <w:numPr>
          <w:ilvl w:val="0"/>
          <w:numId w:val="12"/>
        </w:numPr>
      </w:pPr>
      <w:r w:rsidRPr="008256ED">
        <w:t>The total number of authorised shares multiplied by the fair value share price</w:t>
      </w:r>
    </w:p>
    <w:p w:rsidR="002701FB" w:rsidRPr="008256ED" w:rsidRDefault="002701FB" w:rsidP="002701FB">
      <w:pPr>
        <w:pStyle w:val="ListParagraph"/>
        <w:numPr>
          <w:ilvl w:val="0"/>
          <w:numId w:val="12"/>
        </w:numPr>
      </w:pPr>
      <w:r w:rsidRPr="008256ED">
        <w:t>The total number of issued shares multiplied by the book value share price</w:t>
      </w:r>
    </w:p>
    <w:p w:rsidR="002701FB" w:rsidRPr="006E57DA" w:rsidRDefault="002701FB" w:rsidP="002701FB">
      <w:pPr>
        <w:pStyle w:val="ListParagraph"/>
        <w:numPr>
          <w:ilvl w:val="0"/>
          <w:numId w:val="12"/>
        </w:numPr>
      </w:pPr>
      <w:r w:rsidRPr="006E57DA">
        <w:t xml:space="preserve">The total number of issued shares multiplied by the current share price </w:t>
      </w:r>
    </w:p>
    <w:p w:rsidR="002701FB" w:rsidRPr="008256ED" w:rsidRDefault="002701FB" w:rsidP="00436ED2">
      <w:pPr>
        <w:pStyle w:val="Heading4"/>
      </w:pPr>
    </w:p>
    <w:p w:rsidR="002701FB" w:rsidRPr="006E57DA" w:rsidRDefault="002701FB" w:rsidP="00436ED2">
      <w:pPr>
        <w:rPr>
          <w:b/>
        </w:rPr>
      </w:pPr>
      <w:r w:rsidRPr="006E57DA">
        <w:rPr>
          <w:b/>
        </w:rPr>
        <w:t>Which ONE of the following types of preference share can be exchanged for ordinary shares on specified terms?</w:t>
      </w:r>
    </w:p>
    <w:p w:rsidR="002701FB" w:rsidRPr="008256ED" w:rsidRDefault="002701FB" w:rsidP="002701FB">
      <w:pPr>
        <w:pStyle w:val="ListParagraph"/>
        <w:numPr>
          <w:ilvl w:val="0"/>
          <w:numId w:val="13"/>
        </w:numPr>
      </w:pPr>
      <w:r w:rsidRPr="008256ED">
        <w:t>Redeemable preference shares</w:t>
      </w:r>
    </w:p>
    <w:p w:rsidR="002701FB" w:rsidRPr="006E57DA" w:rsidRDefault="002701FB" w:rsidP="002701FB">
      <w:pPr>
        <w:pStyle w:val="ListParagraph"/>
        <w:numPr>
          <w:ilvl w:val="0"/>
          <w:numId w:val="13"/>
        </w:numPr>
      </w:pPr>
      <w:r w:rsidRPr="006E57DA">
        <w:t>Convertible preference shares</w:t>
      </w:r>
    </w:p>
    <w:p w:rsidR="002701FB" w:rsidRPr="008256ED" w:rsidRDefault="002701FB" w:rsidP="002701FB">
      <w:pPr>
        <w:pStyle w:val="ListParagraph"/>
        <w:numPr>
          <w:ilvl w:val="0"/>
          <w:numId w:val="13"/>
        </w:numPr>
      </w:pPr>
      <w:r w:rsidRPr="008256ED">
        <w:t>Participating preference shares</w:t>
      </w:r>
    </w:p>
    <w:p w:rsidR="002701FB" w:rsidRPr="008256ED" w:rsidRDefault="002701FB" w:rsidP="002701FB">
      <w:pPr>
        <w:pStyle w:val="ListParagraph"/>
        <w:numPr>
          <w:ilvl w:val="0"/>
          <w:numId w:val="13"/>
        </w:numPr>
      </w:pPr>
      <w:r w:rsidRPr="008256ED">
        <w:t>Cumulative preference shares</w:t>
      </w:r>
    </w:p>
    <w:p w:rsidR="002701FB" w:rsidRPr="008256ED" w:rsidRDefault="002701FB" w:rsidP="00436ED2">
      <w:pPr>
        <w:pStyle w:val="Heading4"/>
      </w:pPr>
    </w:p>
    <w:p w:rsidR="002701FB" w:rsidRPr="008256ED" w:rsidRDefault="002701FB" w:rsidP="00436ED2">
      <w:r w:rsidRPr="008256ED">
        <w:t>Which ONE of the following is the key difference between ordinary and preference shares?</w:t>
      </w:r>
    </w:p>
    <w:p w:rsidR="002701FB" w:rsidRPr="008256ED" w:rsidRDefault="002701FB" w:rsidP="002701FB">
      <w:pPr>
        <w:pStyle w:val="ListParagraph"/>
        <w:numPr>
          <w:ilvl w:val="0"/>
          <w:numId w:val="14"/>
        </w:numPr>
        <w:spacing w:before="120"/>
      </w:pPr>
      <w:r w:rsidRPr="008256ED">
        <w:t xml:space="preserve">The tax treatment of dividends received by the shareholder </w:t>
      </w:r>
    </w:p>
    <w:p w:rsidR="002701FB" w:rsidRPr="006E57DA" w:rsidRDefault="002701FB" w:rsidP="002701FB">
      <w:pPr>
        <w:pStyle w:val="ListParagraph"/>
        <w:numPr>
          <w:ilvl w:val="0"/>
          <w:numId w:val="14"/>
        </w:numPr>
        <w:spacing w:before="120"/>
      </w:pPr>
      <w:r w:rsidRPr="006E57DA">
        <w:t>Priority in terms of rights to distribution of earnings</w:t>
      </w:r>
    </w:p>
    <w:p w:rsidR="002701FB" w:rsidRPr="008256ED" w:rsidRDefault="002701FB" w:rsidP="002701FB">
      <w:pPr>
        <w:pStyle w:val="ListParagraph"/>
        <w:numPr>
          <w:ilvl w:val="0"/>
          <w:numId w:val="14"/>
        </w:numPr>
        <w:spacing w:before="120"/>
      </w:pPr>
      <w:r w:rsidRPr="008256ED">
        <w:t xml:space="preserve">The tax treatment of dividends paid by the issuing company </w:t>
      </w:r>
    </w:p>
    <w:p w:rsidR="002701FB" w:rsidRPr="008256ED" w:rsidRDefault="002701FB" w:rsidP="002701FB">
      <w:pPr>
        <w:pStyle w:val="ListParagraph"/>
        <w:numPr>
          <w:ilvl w:val="0"/>
          <w:numId w:val="14"/>
        </w:numPr>
        <w:spacing w:before="120"/>
      </w:pPr>
      <w:r w:rsidRPr="008256ED">
        <w:t>Shareholder liability in the event of liquidation of the issuing company</w:t>
      </w:r>
    </w:p>
    <w:p w:rsidR="002701FB" w:rsidRDefault="002701FB" w:rsidP="00436ED2">
      <w:pPr>
        <w:spacing w:after="0" w:line="240" w:lineRule="auto"/>
        <w:rPr>
          <w:b/>
          <w:bCs/>
        </w:rPr>
      </w:pPr>
      <w:r>
        <w:br w:type="page"/>
      </w:r>
    </w:p>
    <w:p w:rsidR="002701FB" w:rsidRPr="008256ED" w:rsidRDefault="002701FB" w:rsidP="00436ED2">
      <w:pPr>
        <w:pStyle w:val="Heading4"/>
      </w:pPr>
    </w:p>
    <w:p w:rsidR="002701FB" w:rsidRPr="006E57DA" w:rsidRDefault="002701FB" w:rsidP="00436ED2">
      <w:pPr>
        <w:rPr>
          <w:b/>
        </w:rPr>
      </w:pPr>
      <w:proofErr w:type="spellStart"/>
      <w:r w:rsidRPr="006E57DA">
        <w:rPr>
          <w:b/>
        </w:rPr>
        <w:t>Tandiwe</w:t>
      </w:r>
      <w:proofErr w:type="spellEnd"/>
      <w:r w:rsidRPr="006E57DA">
        <w:rPr>
          <w:b/>
        </w:rPr>
        <w:t xml:space="preserve"> (Pty) Ltd is registered as a trading services provider (TSP) with the JSE. Which ONE of the following actions is this JSE </w:t>
      </w:r>
      <w:proofErr w:type="gramStart"/>
      <w:r w:rsidRPr="006E57DA">
        <w:rPr>
          <w:b/>
        </w:rPr>
        <w:t>member company</w:t>
      </w:r>
      <w:proofErr w:type="gramEnd"/>
      <w:r w:rsidRPr="006E57DA">
        <w:rPr>
          <w:b/>
        </w:rPr>
        <w:t xml:space="preserve"> allowed to perform?</w:t>
      </w:r>
    </w:p>
    <w:p w:rsidR="002701FB" w:rsidRPr="006E57DA" w:rsidRDefault="002701FB" w:rsidP="002701FB">
      <w:pPr>
        <w:pStyle w:val="ListParagraph"/>
        <w:numPr>
          <w:ilvl w:val="0"/>
          <w:numId w:val="15"/>
        </w:numPr>
      </w:pPr>
      <w:r w:rsidRPr="006E57DA">
        <w:t>Buying and selling of equity securities for own account and on behalf of clients</w:t>
      </w:r>
    </w:p>
    <w:p w:rsidR="002701FB" w:rsidRPr="008256ED" w:rsidRDefault="002701FB" w:rsidP="002701FB">
      <w:pPr>
        <w:pStyle w:val="ListParagraph"/>
        <w:numPr>
          <w:ilvl w:val="0"/>
          <w:numId w:val="15"/>
        </w:numPr>
      </w:pPr>
      <w:r w:rsidRPr="008256ED">
        <w:t>Exercising discretion in the management of JSE-authorised investments on behalf of clients</w:t>
      </w:r>
    </w:p>
    <w:p w:rsidR="002701FB" w:rsidRPr="008256ED" w:rsidRDefault="002701FB" w:rsidP="002701FB">
      <w:pPr>
        <w:pStyle w:val="ListParagraph"/>
        <w:numPr>
          <w:ilvl w:val="0"/>
          <w:numId w:val="15"/>
        </w:numPr>
      </w:pPr>
      <w:r w:rsidRPr="008256ED">
        <w:t>Exercising control over dematerialised JSE-listed securities traded on the JSE equity division</w:t>
      </w:r>
    </w:p>
    <w:p w:rsidR="002701FB" w:rsidRDefault="002701FB" w:rsidP="002701FB">
      <w:pPr>
        <w:pStyle w:val="ListParagraph"/>
        <w:numPr>
          <w:ilvl w:val="0"/>
          <w:numId w:val="15"/>
        </w:numPr>
      </w:pPr>
      <w:r w:rsidRPr="008256ED">
        <w:t>Safeguarding funds intended for the purchase of equity securities on behalf of clients</w:t>
      </w:r>
    </w:p>
    <w:p w:rsidR="002701FB" w:rsidRPr="008256ED" w:rsidRDefault="002701FB" w:rsidP="00436ED2">
      <w:pPr>
        <w:pStyle w:val="Heading4"/>
        <w:rPr>
          <w:color w:val="17365D"/>
          <w:lang w:val="en-US"/>
        </w:rPr>
      </w:pPr>
    </w:p>
    <w:p w:rsidR="002701FB" w:rsidRPr="006E57DA" w:rsidRDefault="002701FB" w:rsidP="00436ED2">
      <w:pPr>
        <w:rPr>
          <w:b/>
          <w:lang w:val="en-US"/>
        </w:rPr>
      </w:pPr>
      <w:r w:rsidRPr="006E57DA">
        <w:rPr>
          <w:b/>
          <w:lang w:val="en-US"/>
        </w:rPr>
        <w:t>Which of the following statements with regard to the general principles on which the listing requirements of the JSE are built are correct?</w:t>
      </w:r>
    </w:p>
    <w:p w:rsidR="002701FB" w:rsidRPr="008256ED" w:rsidRDefault="002701FB" w:rsidP="002701FB">
      <w:pPr>
        <w:pStyle w:val="ListParagraph"/>
        <w:numPr>
          <w:ilvl w:val="0"/>
          <w:numId w:val="7"/>
        </w:numPr>
        <w:spacing w:after="120" w:line="276" w:lineRule="auto"/>
        <w:ind w:left="360" w:hanging="360"/>
        <w:contextualSpacing w:val="0"/>
        <w:jc w:val="both"/>
        <w:rPr>
          <w:lang w:val="en-US"/>
        </w:rPr>
      </w:pPr>
      <w:r w:rsidRPr="008256ED">
        <w:rPr>
          <w:lang w:val="en-US"/>
        </w:rPr>
        <w:t>The public must be satisfied that it is appropriate for the securities of the issuing company to be listed.</w:t>
      </w:r>
    </w:p>
    <w:p w:rsidR="002701FB" w:rsidRPr="008256ED" w:rsidRDefault="002701FB" w:rsidP="002701FB">
      <w:pPr>
        <w:pStyle w:val="ListParagraph"/>
        <w:numPr>
          <w:ilvl w:val="0"/>
          <w:numId w:val="7"/>
        </w:numPr>
        <w:spacing w:after="120" w:line="276" w:lineRule="auto"/>
        <w:ind w:left="360" w:hanging="360"/>
        <w:contextualSpacing w:val="0"/>
        <w:jc w:val="both"/>
        <w:rPr>
          <w:lang w:val="en-US"/>
        </w:rPr>
      </w:pPr>
      <w:r w:rsidRPr="008256ED">
        <w:rPr>
          <w:lang w:val="en-US"/>
        </w:rPr>
        <w:t>Collective investment schemes holding shares should receive preferential treatment in terms of voting rights.</w:t>
      </w:r>
    </w:p>
    <w:p w:rsidR="002701FB" w:rsidRPr="006E57DA" w:rsidRDefault="002701FB" w:rsidP="002701FB">
      <w:pPr>
        <w:pStyle w:val="ListParagraph"/>
        <w:numPr>
          <w:ilvl w:val="0"/>
          <w:numId w:val="7"/>
        </w:numPr>
        <w:spacing w:after="120" w:line="276" w:lineRule="auto"/>
        <w:ind w:left="360" w:hanging="360"/>
        <w:contextualSpacing w:val="0"/>
        <w:jc w:val="both"/>
        <w:rPr>
          <w:lang w:val="en-US"/>
        </w:rPr>
      </w:pPr>
      <w:r w:rsidRPr="006E57DA">
        <w:rPr>
          <w:lang w:val="en-US"/>
        </w:rPr>
        <w:t>All material activities of the issuing company should be disclosed to the shareholders and the public.</w:t>
      </w:r>
    </w:p>
    <w:p w:rsidR="002701FB" w:rsidRPr="006E57DA" w:rsidRDefault="002701FB" w:rsidP="002701FB">
      <w:pPr>
        <w:pStyle w:val="ListParagraph"/>
        <w:numPr>
          <w:ilvl w:val="0"/>
          <w:numId w:val="7"/>
        </w:numPr>
        <w:spacing w:after="120" w:line="276" w:lineRule="auto"/>
        <w:ind w:left="360" w:hanging="360"/>
        <w:contextualSpacing w:val="0"/>
        <w:jc w:val="both"/>
        <w:rPr>
          <w:lang w:val="en-US"/>
        </w:rPr>
      </w:pPr>
      <w:r w:rsidRPr="006E57DA">
        <w:rPr>
          <w:lang w:val="en-US"/>
        </w:rPr>
        <w:t>The listing requirements and the continuing obligations should promote investor confidence in the market.</w:t>
      </w:r>
    </w:p>
    <w:p w:rsidR="002701FB" w:rsidRPr="008256ED" w:rsidRDefault="002701FB" w:rsidP="00436ED2">
      <w:pPr>
        <w:pStyle w:val="NoSpacing"/>
        <w:rPr>
          <w:rFonts w:asciiTheme="minorHAnsi" w:hAnsiTheme="minorHAnsi"/>
          <w:szCs w:val="22"/>
          <w:lang w:val="en-US"/>
        </w:rPr>
      </w:pPr>
    </w:p>
    <w:p w:rsidR="002701FB" w:rsidRPr="008256ED" w:rsidRDefault="002701FB" w:rsidP="002701FB">
      <w:pPr>
        <w:pStyle w:val="ListParagraph"/>
        <w:numPr>
          <w:ilvl w:val="0"/>
          <w:numId w:val="16"/>
        </w:numPr>
      </w:pPr>
      <w:r>
        <w:t xml:space="preserve">(i) </w:t>
      </w:r>
      <w:r w:rsidRPr="008256ED">
        <w:t>and (ii) only</w:t>
      </w:r>
    </w:p>
    <w:p w:rsidR="002701FB" w:rsidRPr="00D311E4" w:rsidRDefault="002701FB" w:rsidP="002701FB">
      <w:pPr>
        <w:pStyle w:val="ListParagraph"/>
        <w:numPr>
          <w:ilvl w:val="0"/>
          <w:numId w:val="16"/>
        </w:numPr>
      </w:pPr>
      <w:r w:rsidRPr="00D311E4">
        <w:t>(iii) and (iv) only</w:t>
      </w:r>
    </w:p>
    <w:p w:rsidR="002701FB" w:rsidRPr="008256ED" w:rsidRDefault="002701FB" w:rsidP="002701FB">
      <w:pPr>
        <w:pStyle w:val="ListParagraph"/>
        <w:numPr>
          <w:ilvl w:val="0"/>
          <w:numId w:val="16"/>
        </w:numPr>
      </w:pPr>
      <w:r w:rsidRPr="008256ED">
        <w:t>(i), (ii) and (iii) only</w:t>
      </w:r>
    </w:p>
    <w:p w:rsidR="002701FB" w:rsidRPr="008256ED" w:rsidRDefault="002701FB" w:rsidP="002701FB">
      <w:pPr>
        <w:pStyle w:val="ListParagraph"/>
        <w:numPr>
          <w:ilvl w:val="0"/>
          <w:numId w:val="16"/>
        </w:numPr>
      </w:pPr>
      <w:r w:rsidRPr="008256ED">
        <w:t>(i), (iii) and (iv) only</w:t>
      </w:r>
    </w:p>
    <w:p w:rsidR="002701FB" w:rsidRPr="008256ED" w:rsidRDefault="002701FB" w:rsidP="00436ED2">
      <w:pPr>
        <w:pStyle w:val="Heading4"/>
        <w:rPr>
          <w:lang w:val="en-US"/>
        </w:rPr>
      </w:pPr>
      <w:r w:rsidRPr="008256ED">
        <w:rPr>
          <w:lang w:val="en-US"/>
        </w:rPr>
        <w:t xml:space="preserve"> </w:t>
      </w:r>
    </w:p>
    <w:p w:rsidR="002701FB" w:rsidRPr="00D311E4" w:rsidRDefault="002701FB" w:rsidP="00436ED2">
      <w:pPr>
        <w:rPr>
          <w:b/>
          <w:lang w:val="en-US"/>
        </w:rPr>
      </w:pPr>
      <w:r w:rsidRPr="00D311E4">
        <w:rPr>
          <w:b/>
          <w:lang w:val="en-US"/>
        </w:rPr>
        <w:t xml:space="preserve">The minimum share capital requirement for listing on the </w:t>
      </w:r>
      <w:proofErr w:type="spellStart"/>
      <w:r w:rsidRPr="00D311E4">
        <w:rPr>
          <w:b/>
          <w:lang w:val="en-US"/>
        </w:rPr>
        <w:t>Alt</w:t>
      </w:r>
      <w:r w:rsidRPr="00D311E4">
        <w:rPr>
          <w:b/>
          <w:vertAlign w:val="superscript"/>
          <w:lang w:val="en-US"/>
        </w:rPr>
        <w:t>X</w:t>
      </w:r>
      <w:proofErr w:type="spellEnd"/>
      <w:r w:rsidRPr="00D311E4">
        <w:rPr>
          <w:b/>
          <w:lang w:val="en-US"/>
        </w:rPr>
        <w:t xml:space="preserve"> board of the JSE is</w:t>
      </w:r>
    </w:p>
    <w:p w:rsidR="002701FB" w:rsidRPr="00D311E4" w:rsidRDefault="002701FB" w:rsidP="002701FB">
      <w:pPr>
        <w:pStyle w:val="ListParagraph"/>
        <w:numPr>
          <w:ilvl w:val="0"/>
          <w:numId w:val="17"/>
        </w:numPr>
        <w:rPr>
          <w:lang w:val="en-US"/>
        </w:rPr>
      </w:pPr>
      <w:r w:rsidRPr="00D311E4">
        <w:rPr>
          <w:lang w:val="en-US"/>
        </w:rPr>
        <w:t>R0,5 million</w:t>
      </w:r>
    </w:p>
    <w:p w:rsidR="002701FB" w:rsidRPr="00D311E4" w:rsidRDefault="002701FB" w:rsidP="002701FB">
      <w:pPr>
        <w:pStyle w:val="ListParagraph"/>
        <w:numPr>
          <w:ilvl w:val="0"/>
          <w:numId w:val="17"/>
        </w:numPr>
        <w:rPr>
          <w:lang w:val="en-US"/>
        </w:rPr>
      </w:pPr>
      <w:r w:rsidRPr="00D311E4">
        <w:rPr>
          <w:lang w:val="en-US"/>
        </w:rPr>
        <w:t>R1 million</w:t>
      </w:r>
    </w:p>
    <w:p w:rsidR="002701FB" w:rsidRPr="00D311E4" w:rsidRDefault="002701FB" w:rsidP="002701FB">
      <w:pPr>
        <w:pStyle w:val="ListParagraph"/>
        <w:numPr>
          <w:ilvl w:val="0"/>
          <w:numId w:val="17"/>
        </w:numPr>
        <w:rPr>
          <w:lang w:val="en-US"/>
        </w:rPr>
      </w:pPr>
      <w:r w:rsidRPr="00D311E4">
        <w:rPr>
          <w:lang w:val="en-US"/>
        </w:rPr>
        <w:t>R2 million</w:t>
      </w:r>
    </w:p>
    <w:p w:rsidR="002701FB" w:rsidRPr="00D311E4" w:rsidRDefault="002701FB" w:rsidP="002701FB">
      <w:pPr>
        <w:pStyle w:val="ListParagraph"/>
        <w:numPr>
          <w:ilvl w:val="0"/>
          <w:numId w:val="17"/>
        </w:numPr>
        <w:rPr>
          <w:lang w:val="en-US"/>
        </w:rPr>
      </w:pPr>
      <w:r w:rsidRPr="00D311E4">
        <w:rPr>
          <w:lang w:val="en-US"/>
        </w:rPr>
        <w:t>R5 million</w:t>
      </w:r>
    </w:p>
    <w:p w:rsidR="002701FB" w:rsidRDefault="002701FB" w:rsidP="00436ED2">
      <w:pPr>
        <w:spacing w:after="0" w:line="240" w:lineRule="auto"/>
        <w:rPr>
          <w:b/>
          <w:bCs/>
          <w:lang w:val="en-US"/>
        </w:rPr>
      </w:pPr>
      <w:r>
        <w:rPr>
          <w:b/>
          <w:bCs/>
          <w:lang w:val="en-US"/>
        </w:rPr>
        <w:br w:type="page"/>
      </w:r>
    </w:p>
    <w:p w:rsidR="002701FB" w:rsidRDefault="002701FB" w:rsidP="00436ED2">
      <w:pPr>
        <w:pStyle w:val="Heading4"/>
        <w:rPr>
          <w:lang w:val="en-US"/>
        </w:rPr>
      </w:pPr>
    </w:p>
    <w:p w:rsidR="002701FB" w:rsidRPr="00D311E4" w:rsidRDefault="002701FB" w:rsidP="00436ED2">
      <w:pPr>
        <w:rPr>
          <w:b/>
          <w:lang w:val="en-US"/>
        </w:rPr>
      </w:pPr>
      <w:r w:rsidRPr="00D311E4">
        <w:rPr>
          <w:b/>
          <w:lang w:val="en-US"/>
        </w:rPr>
        <w:t>The issuing of shares by a company for the attainment of assets not already listed is called</w:t>
      </w:r>
    </w:p>
    <w:p w:rsidR="002701FB" w:rsidRPr="00D311E4" w:rsidRDefault="002701FB" w:rsidP="002701FB">
      <w:pPr>
        <w:pStyle w:val="ListParagraph"/>
        <w:numPr>
          <w:ilvl w:val="0"/>
          <w:numId w:val="18"/>
        </w:numPr>
        <w:rPr>
          <w:lang w:val="en-US"/>
        </w:rPr>
      </w:pPr>
      <w:r w:rsidRPr="00D311E4">
        <w:rPr>
          <w:lang w:val="en-US"/>
        </w:rPr>
        <w:t xml:space="preserve">a </w:t>
      </w:r>
      <w:proofErr w:type="spellStart"/>
      <w:r w:rsidRPr="00D311E4">
        <w:rPr>
          <w:lang w:val="en-US"/>
        </w:rPr>
        <w:t>capitalisation</w:t>
      </w:r>
      <w:proofErr w:type="spellEnd"/>
      <w:r w:rsidRPr="00D311E4">
        <w:rPr>
          <w:lang w:val="en-US"/>
        </w:rPr>
        <w:t xml:space="preserve"> issue</w:t>
      </w:r>
    </w:p>
    <w:p w:rsidR="002701FB" w:rsidRPr="00D311E4" w:rsidRDefault="002701FB" w:rsidP="002701FB">
      <w:pPr>
        <w:pStyle w:val="ListParagraph"/>
        <w:numPr>
          <w:ilvl w:val="0"/>
          <w:numId w:val="18"/>
        </w:numPr>
        <w:rPr>
          <w:lang w:val="en-US"/>
        </w:rPr>
      </w:pPr>
      <w:r w:rsidRPr="00D311E4">
        <w:rPr>
          <w:lang w:val="en-US"/>
        </w:rPr>
        <w:t>a rights offer</w:t>
      </w:r>
    </w:p>
    <w:p w:rsidR="002701FB" w:rsidRPr="00D311E4" w:rsidRDefault="002701FB" w:rsidP="002701FB">
      <w:pPr>
        <w:pStyle w:val="ListParagraph"/>
        <w:numPr>
          <w:ilvl w:val="0"/>
          <w:numId w:val="18"/>
        </w:numPr>
        <w:rPr>
          <w:lang w:val="en-US"/>
        </w:rPr>
      </w:pPr>
      <w:r w:rsidRPr="00D311E4">
        <w:rPr>
          <w:lang w:val="en-US"/>
        </w:rPr>
        <w:t>a claw-back offer</w:t>
      </w:r>
    </w:p>
    <w:p w:rsidR="002701FB" w:rsidRPr="00D311E4" w:rsidRDefault="002701FB" w:rsidP="002701FB">
      <w:pPr>
        <w:pStyle w:val="ListParagraph"/>
        <w:numPr>
          <w:ilvl w:val="0"/>
          <w:numId w:val="18"/>
        </w:numPr>
      </w:pPr>
      <w:r w:rsidRPr="00D311E4">
        <w:rPr>
          <w:lang w:val="en-US"/>
        </w:rPr>
        <w:t>an acquisition issue</w:t>
      </w:r>
    </w:p>
    <w:p w:rsidR="002701FB" w:rsidRPr="008256ED" w:rsidRDefault="002701FB" w:rsidP="00436ED2">
      <w:pPr>
        <w:pStyle w:val="Heading4"/>
      </w:pPr>
      <w:r w:rsidRPr="008256ED">
        <w:t xml:space="preserve"> </w:t>
      </w:r>
    </w:p>
    <w:p w:rsidR="002701FB" w:rsidRPr="00D311E4" w:rsidRDefault="002701FB" w:rsidP="00436ED2">
      <w:pPr>
        <w:rPr>
          <w:b/>
        </w:rPr>
      </w:pPr>
      <w:r w:rsidRPr="00D311E4">
        <w:rPr>
          <w:b/>
        </w:rPr>
        <w:t>According to the relative valuation method, the intrinsic value of a share is derived by</w:t>
      </w:r>
    </w:p>
    <w:p w:rsidR="002701FB" w:rsidRPr="008256ED" w:rsidRDefault="002701FB" w:rsidP="002701FB">
      <w:pPr>
        <w:pStyle w:val="ListParagraph"/>
        <w:numPr>
          <w:ilvl w:val="0"/>
          <w:numId w:val="19"/>
        </w:numPr>
      </w:pPr>
      <w:r w:rsidRPr="008256ED">
        <w:t>determining the share’s co-movement with the market</w:t>
      </w:r>
    </w:p>
    <w:p w:rsidR="002701FB" w:rsidRPr="008256ED" w:rsidRDefault="002701FB" w:rsidP="002701FB">
      <w:pPr>
        <w:pStyle w:val="ListParagraph"/>
        <w:numPr>
          <w:ilvl w:val="0"/>
          <w:numId w:val="19"/>
        </w:numPr>
      </w:pPr>
      <w:r w:rsidRPr="008256ED">
        <w:t>calculating the present value of future cash flows</w:t>
      </w:r>
    </w:p>
    <w:p w:rsidR="002701FB" w:rsidRPr="008256ED" w:rsidRDefault="002701FB" w:rsidP="002701FB">
      <w:pPr>
        <w:pStyle w:val="ListParagraph"/>
        <w:numPr>
          <w:ilvl w:val="0"/>
          <w:numId w:val="19"/>
        </w:numPr>
      </w:pPr>
      <w:r w:rsidRPr="008256ED">
        <w:t>estimating the expected return and variability of return for the share</w:t>
      </w:r>
    </w:p>
    <w:p w:rsidR="002701FB" w:rsidRPr="00D311E4" w:rsidRDefault="002701FB" w:rsidP="002701FB">
      <w:pPr>
        <w:pStyle w:val="ListParagraph"/>
        <w:numPr>
          <w:ilvl w:val="0"/>
          <w:numId w:val="19"/>
        </w:numPr>
      </w:pPr>
      <w:r w:rsidRPr="00D311E4">
        <w:t>expressing the current price of the share as a multiple of earnings</w:t>
      </w:r>
    </w:p>
    <w:p w:rsidR="002701FB" w:rsidRPr="008256ED" w:rsidRDefault="002701FB" w:rsidP="00436ED2">
      <w:pPr>
        <w:pStyle w:val="Heading4"/>
      </w:pPr>
    </w:p>
    <w:p w:rsidR="002701FB" w:rsidRPr="00D311E4" w:rsidRDefault="002701FB" w:rsidP="00436ED2">
      <w:pPr>
        <w:rPr>
          <w:b/>
        </w:rPr>
      </w:pPr>
      <w:r w:rsidRPr="00D311E4">
        <w:rPr>
          <w:b/>
        </w:rPr>
        <w:t>Calculate the estimated price of a share</w:t>
      </w:r>
      <w:r>
        <w:rPr>
          <w:b/>
        </w:rPr>
        <w:t>,</w:t>
      </w:r>
      <w:r w:rsidRPr="00D311E4">
        <w:rPr>
          <w:b/>
        </w:rPr>
        <w:t xml:space="preserve"> using relative valuation</w:t>
      </w:r>
      <w:r>
        <w:rPr>
          <w:b/>
        </w:rPr>
        <w:t>,</w:t>
      </w:r>
      <w:r w:rsidRPr="00D311E4">
        <w:rPr>
          <w:b/>
        </w:rPr>
        <w:t xml:space="preserve"> given the following:</w:t>
      </w:r>
    </w:p>
    <w:p w:rsidR="002701FB" w:rsidRPr="008256ED" w:rsidRDefault="002701FB" w:rsidP="002701FB">
      <w:pPr>
        <w:pStyle w:val="ListParagraph"/>
        <w:numPr>
          <w:ilvl w:val="0"/>
          <w:numId w:val="5"/>
        </w:numPr>
        <w:spacing w:before="120" w:after="120" w:line="276" w:lineRule="auto"/>
        <w:contextualSpacing w:val="0"/>
        <w:jc w:val="both"/>
      </w:pPr>
      <w:r w:rsidRPr="008256ED">
        <w:t>Expected earnings per share = R5,50</w:t>
      </w:r>
    </w:p>
    <w:p w:rsidR="002701FB" w:rsidRPr="008256ED" w:rsidRDefault="002701FB" w:rsidP="002701FB">
      <w:pPr>
        <w:pStyle w:val="ListParagraph"/>
        <w:numPr>
          <w:ilvl w:val="0"/>
          <w:numId w:val="5"/>
        </w:numPr>
        <w:spacing w:before="120" w:after="120" w:line="276" w:lineRule="auto"/>
        <w:contextualSpacing w:val="0"/>
        <w:jc w:val="both"/>
      </w:pPr>
      <w:r w:rsidRPr="008256ED">
        <w:t>Expected book value per share = R45,50</w:t>
      </w:r>
    </w:p>
    <w:p w:rsidR="002701FB" w:rsidRPr="008256ED" w:rsidRDefault="002701FB" w:rsidP="002701FB">
      <w:pPr>
        <w:pStyle w:val="ListParagraph"/>
        <w:numPr>
          <w:ilvl w:val="0"/>
          <w:numId w:val="5"/>
        </w:numPr>
        <w:spacing w:before="120" w:after="120" w:line="276" w:lineRule="auto"/>
        <w:contextualSpacing w:val="0"/>
        <w:jc w:val="both"/>
      </w:pPr>
      <w:r w:rsidRPr="008256ED">
        <w:t>Price/earnings (PE) ratio = 7</w:t>
      </w:r>
    </w:p>
    <w:p w:rsidR="002701FB" w:rsidRPr="008256ED" w:rsidRDefault="002701FB" w:rsidP="002701FB">
      <w:pPr>
        <w:pStyle w:val="ListParagraph"/>
        <w:numPr>
          <w:ilvl w:val="0"/>
          <w:numId w:val="20"/>
        </w:numPr>
      </w:pPr>
      <w:r w:rsidRPr="008256ED">
        <w:t>R6,50</w:t>
      </w:r>
    </w:p>
    <w:p w:rsidR="002701FB" w:rsidRPr="00D311E4" w:rsidRDefault="002701FB" w:rsidP="002701FB">
      <w:pPr>
        <w:pStyle w:val="ListParagraph"/>
        <w:numPr>
          <w:ilvl w:val="0"/>
          <w:numId w:val="20"/>
        </w:numPr>
      </w:pPr>
      <w:r w:rsidRPr="00D311E4">
        <w:t>R38,50</w:t>
      </w:r>
    </w:p>
    <w:p w:rsidR="002701FB" w:rsidRPr="008256ED" w:rsidRDefault="002701FB" w:rsidP="002701FB">
      <w:pPr>
        <w:pStyle w:val="ListParagraph"/>
        <w:numPr>
          <w:ilvl w:val="0"/>
          <w:numId w:val="20"/>
        </w:numPr>
      </w:pPr>
      <w:r w:rsidRPr="008256ED">
        <w:t>R45,50</w:t>
      </w:r>
    </w:p>
    <w:p w:rsidR="002701FB" w:rsidRPr="008256ED" w:rsidRDefault="002701FB" w:rsidP="002701FB">
      <w:pPr>
        <w:pStyle w:val="ListParagraph"/>
        <w:numPr>
          <w:ilvl w:val="0"/>
          <w:numId w:val="20"/>
        </w:numPr>
      </w:pPr>
      <w:r w:rsidRPr="008256ED">
        <w:t>R55,48</w:t>
      </w:r>
    </w:p>
    <w:p w:rsidR="002701FB" w:rsidRPr="008256ED" w:rsidRDefault="002701FB" w:rsidP="00436ED2">
      <w:pPr>
        <w:pStyle w:val="Heading4"/>
      </w:pPr>
    </w:p>
    <w:p w:rsidR="002701FB" w:rsidRPr="00D311E4" w:rsidRDefault="002701FB" w:rsidP="00436ED2">
      <w:pPr>
        <w:rPr>
          <w:b/>
        </w:rPr>
      </w:pPr>
      <w:r w:rsidRPr="00D311E4">
        <w:rPr>
          <w:b/>
        </w:rPr>
        <w:t>Which ONE of the following is a limitation of the single-stage Gordon growth model?</w:t>
      </w:r>
    </w:p>
    <w:p w:rsidR="002701FB" w:rsidRPr="00D311E4" w:rsidRDefault="002701FB" w:rsidP="002701FB">
      <w:pPr>
        <w:pStyle w:val="ListParagraph"/>
        <w:numPr>
          <w:ilvl w:val="0"/>
          <w:numId w:val="21"/>
        </w:numPr>
      </w:pPr>
      <w:r w:rsidRPr="00D311E4">
        <w:t>Its sensitivity to growth rate input</w:t>
      </w:r>
    </w:p>
    <w:p w:rsidR="002701FB" w:rsidRPr="008256ED" w:rsidRDefault="002701FB" w:rsidP="002701FB">
      <w:pPr>
        <w:pStyle w:val="ListParagraph"/>
        <w:numPr>
          <w:ilvl w:val="0"/>
          <w:numId w:val="21"/>
        </w:numPr>
      </w:pPr>
      <w:r w:rsidRPr="008256ED">
        <w:t>Not defined when rate of return reaches infinity</w:t>
      </w:r>
    </w:p>
    <w:p w:rsidR="002701FB" w:rsidRPr="008256ED" w:rsidRDefault="002701FB" w:rsidP="002701FB">
      <w:pPr>
        <w:pStyle w:val="ListParagraph"/>
        <w:numPr>
          <w:ilvl w:val="0"/>
          <w:numId w:val="21"/>
        </w:numPr>
      </w:pPr>
      <w:r w:rsidRPr="008256ED">
        <w:t>Its unrealistic inflation assumptions</w:t>
      </w:r>
    </w:p>
    <w:p w:rsidR="002701FB" w:rsidRPr="008256ED" w:rsidRDefault="002701FB" w:rsidP="002701FB">
      <w:pPr>
        <w:pStyle w:val="ListParagraph"/>
        <w:numPr>
          <w:ilvl w:val="0"/>
          <w:numId w:val="21"/>
        </w:numPr>
      </w:pPr>
      <w:r w:rsidRPr="008256ED">
        <w:t>Difficult to use in practice</w:t>
      </w:r>
    </w:p>
    <w:p w:rsidR="002701FB" w:rsidRDefault="002701FB">
      <w:pPr>
        <w:spacing w:after="0" w:line="240" w:lineRule="auto"/>
        <w:rPr>
          <w:b/>
          <w:bCs/>
          <w:smallCaps/>
        </w:rPr>
      </w:pPr>
      <w:r>
        <w:br w:type="page"/>
      </w:r>
    </w:p>
    <w:p w:rsidR="002701FB" w:rsidRPr="002061BC" w:rsidRDefault="002701FB" w:rsidP="00D57FB3">
      <w:pPr>
        <w:pStyle w:val="Heading3"/>
      </w:pPr>
      <w:bookmarkStart w:id="2" w:name="C12WQ"/>
      <w:r w:rsidRPr="002061BC">
        <w:lastRenderedPageBreak/>
        <w:t xml:space="preserve">  </w:t>
      </w:r>
      <w:bookmarkStart w:id="3" w:name="_Toc320540454"/>
      <w:r w:rsidRPr="002061BC">
        <w:t>Written questions</w:t>
      </w:r>
      <w:bookmarkEnd w:id="3"/>
    </w:p>
    <w:bookmarkEnd w:id="2"/>
    <w:p w:rsidR="002701FB" w:rsidRPr="00292B10" w:rsidRDefault="002701FB" w:rsidP="00D57FB3">
      <w:pPr>
        <w:ind w:right="-897"/>
        <w:jc w:val="right"/>
        <w:rPr>
          <w:rStyle w:val="Hyperlink"/>
          <w:sz w:val="20"/>
        </w:rPr>
      </w:pPr>
      <w:r>
        <w:rPr>
          <w:sz w:val="20"/>
        </w:rPr>
        <w:fldChar w:fldCharType="begin"/>
      </w:r>
      <w:r>
        <w:rPr>
          <w:sz w:val="20"/>
        </w:rPr>
        <w:instrText xml:space="preserve"> HYPERLINK  \l "AC12WQ" </w:instrText>
      </w:r>
      <w:r>
        <w:rPr>
          <w:sz w:val="20"/>
        </w:rPr>
        <w:fldChar w:fldCharType="separate"/>
      </w:r>
      <w:r w:rsidRPr="00292B10">
        <w:rPr>
          <w:rStyle w:val="Hyperlink"/>
          <w:sz w:val="20"/>
        </w:rPr>
        <w:t xml:space="preserve">Go to  </w:t>
      </w:r>
      <w:r w:rsidRPr="00292B10">
        <w:rPr>
          <w:rStyle w:val="Hyperlink"/>
          <w:sz w:val="24"/>
        </w:rPr>
        <w:sym w:font="Wingdings" w:char="F0F0"/>
      </w:r>
      <w:r w:rsidRPr="00292B10">
        <w:rPr>
          <w:rStyle w:val="Hyperlink"/>
          <w:sz w:val="20"/>
        </w:rPr>
        <w:t xml:space="preserve"> Written questions - Memorandum</w:t>
      </w:r>
    </w:p>
    <w:p w:rsidR="002701FB" w:rsidRPr="002061BC" w:rsidRDefault="002701FB" w:rsidP="00D57FB3">
      <w:pPr>
        <w:rPr>
          <w:i/>
        </w:rPr>
      </w:pPr>
      <w:r>
        <w:rPr>
          <w:sz w:val="20"/>
        </w:rPr>
        <w:fldChar w:fldCharType="end"/>
      </w:r>
      <w:r w:rsidRPr="002061BC">
        <w:rPr>
          <w:i/>
        </w:rPr>
        <w:t>Answer the following questions.</w:t>
      </w:r>
      <w:r w:rsidRPr="002061BC">
        <w:rPr>
          <w:i/>
        </w:rPr>
        <w:tab/>
      </w:r>
    </w:p>
    <w:p w:rsidR="002701FB" w:rsidRPr="008256ED" w:rsidRDefault="002701FB" w:rsidP="002701FB">
      <w:pPr>
        <w:pStyle w:val="Heading4"/>
        <w:numPr>
          <w:ilvl w:val="0"/>
          <w:numId w:val="9"/>
        </w:numPr>
      </w:pPr>
    </w:p>
    <w:p w:rsidR="002701FB" w:rsidRPr="008256ED" w:rsidRDefault="002701FB" w:rsidP="008256ED">
      <w:pPr>
        <w:rPr>
          <w:b/>
        </w:rPr>
      </w:pPr>
      <w:r w:rsidRPr="008256ED">
        <w:rPr>
          <w:b/>
        </w:rPr>
        <w:t>The pre-emptive rights of shareholders are a characteristic of ordinary shares. Explain this concept by way of an example.</w:t>
      </w:r>
    </w:p>
    <w:p w:rsidR="002701FB" w:rsidRPr="008256ED" w:rsidRDefault="002701FB" w:rsidP="008256ED">
      <w:pPr>
        <w:pStyle w:val="Heading4"/>
      </w:pPr>
    </w:p>
    <w:p w:rsidR="002701FB" w:rsidRPr="008256ED" w:rsidRDefault="002701FB" w:rsidP="008256ED">
      <w:pPr>
        <w:rPr>
          <w:b/>
        </w:rPr>
      </w:pPr>
      <w:r w:rsidRPr="008256ED">
        <w:rPr>
          <w:b/>
        </w:rPr>
        <w:t>New Bank issued 10 000 preference shares at a par value of R25 each and a dividend of 80 per cent of the prime rate. The current share price of New Bank is R28</w:t>
      </w:r>
      <w:proofErr w:type="gramStart"/>
      <w:r w:rsidRPr="008256ED">
        <w:rPr>
          <w:b/>
        </w:rPr>
        <w:t>,50</w:t>
      </w:r>
      <w:proofErr w:type="gramEnd"/>
      <w:r w:rsidRPr="008256ED">
        <w:rPr>
          <w:b/>
        </w:rPr>
        <w:t xml:space="preserve"> and the prime rate is 11 per cent. Calculate the total preference dividend pay-out for the year.</w:t>
      </w:r>
    </w:p>
    <w:p w:rsidR="002701FB" w:rsidRPr="008256ED" w:rsidRDefault="002701FB" w:rsidP="008256ED">
      <w:pPr>
        <w:pStyle w:val="Heading4"/>
      </w:pPr>
    </w:p>
    <w:p w:rsidR="002701FB" w:rsidRPr="008256ED" w:rsidRDefault="002701FB" w:rsidP="008256ED">
      <w:pPr>
        <w:rPr>
          <w:b/>
        </w:rPr>
      </w:pPr>
      <w:r w:rsidRPr="008256ED">
        <w:rPr>
          <w:b/>
        </w:rPr>
        <w:t>Discuss the characteristics of private equity.</w:t>
      </w:r>
    </w:p>
    <w:p w:rsidR="002701FB" w:rsidRPr="008256ED" w:rsidRDefault="002701FB" w:rsidP="008256ED">
      <w:pPr>
        <w:pStyle w:val="Heading4"/>
      </w:pPr>
    </w:p>
    <w:p w:rsidR="002701FB" w:rsidRPr="008256ED" w:rsidRDefault="002701FB" w:rsidP="008256ED">
      <w:pPr>
        <w:rPr>
          <w:b/>
        </w:rPr>
      </w:pPr>
      <w:r w:rsidRPr="008256ED">
        <w:rPr>
          <w:b/>
        </w:rPr>
        <w:t>Define depository receipts, and discuss the advantages of issuing them.</w:t>
      </w:r>
    </w:p>
    <w:p w:rsidR="002701FB" w:rsidRPr="008256ED" w:rsidRDefault="002701FB" w:rsidP="008256ED">
      <w:pPr>
        <w:pStyle w:val="Heading4"/>
      </w:pPr>
      <w:r w:rsidRPr="008256ED">
        <w:t xml:space="preserve"> </w:t>
      </w:r>
    </w:p>
    <w:p w:rsidR="002701FB" w:rsidRPr="008256ED" w:rsidRDefault="002701FB" w:rsidP="008256ED">
      <w:pPr>
        <w:rPr>
          <w:b/>
        </w:rPr>
      </w:pPr>
      <w:r w:rsidRPr="008256ED">
        <w:rPr>
          <w:b/>
        </w:rPr>
        <w:t>List the two JSE boards on which new share issues can currently be issued.</w:t>
      </w:r>
    </w:p>
    <w:p w:rsidR="002701FB" w:rsidRPr="008256ED" w:rsidRDefault="002701FB" w:rsidP="008256ED">
      <w:pPr>
        <w:pStyle w:val="Heading4"/>
      </w:pPr>
      <w:r w:rsidRPr="008256ED">
        <w:t xml:space="preserve"> </w:t>
      </w:r>
    </w:p>
    <w:p w:rsidR="002701FB" w:rsidRPr="008256ED" w:rsidRDefault="002701FB" w:rsidP="008256ED">
      <w:pPr>
        <w:rPr>
          <w:b/>
        </w:rPr>
      </w:pPr>
      <w:r w:rsidRPr="008256ED">
        <w:rPr>
          <w:b/>
        </w:rPr>
        <w:t>Given the following published share information for T-Max, how long would it take an investor to earn the equivalent of the total value of the current share price if earnings remain unchanged?</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28" w:type="dxa"/>
          <w:bottom w:w="28" w:type="dxa"/>
        </w:tblCellMar>
        <w:tblLook w:val="00A0" w:firstRow="1" w:lastRow="0" w:firstColumn="1" w:lastColumn="0" w:noHBand="0" w:noVBand="0"/>
      </w:tblPr>
      <w:tblGrid>
        <w:gridCol w:w="1008"/>
        <w:gridCol w:w="786"/>
        <w:gridCol w:w="786"/>
        <w:gridCol w:w="686"/>
        <w:gridCol w:w="773"/>
        <w:gridCol w:w="671"/>
        <w:gridCol w:w="868"/>
        <w:gridCol w:w="775"/>
        <w:gridCol w:w="775"/>
        <w:gridCol w:w="925"/>
        <w:gridCol w:w="573"/>
        <w:gridCol w:w="616"/>
      </w:tblGrid>
      <w:tr w:rsidR="002701FB" w:rsidRPr="008256ED" w:rsidTr="00F123DC">
        <w:tc>
          <w:tcPr>
            <w:tcW w:w="0" w:type="auto"/>
            <w:tcBorders>
              <w:top w:val="single" w:sz="18" w:space="0" w:color="000000"/>
              <w:left w:val="single" w:sz="18" w:space="0" w:color="000000"/>
              <w:bottom w:val="single" w:sz="6" w:space="0" w:color="000000"/>
              <w:right w:val="single" w:sz="6" w:space="0" w:color="000000"/>
            </w:tcBorders>
            <w:tcMar>
              <w:top w:w="28" w:type="dxa"/>
              <w:bottom w:w="28" w:type="dxa"/>
            </w:tcMar>
            <w:vAlign w:val="center"/>
          </w:tcPr>
          <w:p w:rsidR="002701FB" w:rsidRPr="008256ED" w:rsidRDefault="002701FB" w:rsidP="00F123DC">
            <w:pPr>
              <w:spacing w:after="0" w:line="240" w:lineRule="auto"/>
              <w:jc w:val="center"/>
              <w:rPr>
                <w:b/>
              </w:rPr>
            </w:pPr>
            <w:r w:rsidRPr="008256ED">
              <w:rPr>
                <w:b/>
              </w:rPr>
              <w:t>Company</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F123DC">
            <w:pPr>
              <w:spacing w:after="0" w:line="240" w:lineRule="auto"/>
              <w:jc w:val="center"/>
              <w:rPr>
                <w:b/>
              </w:rPr>
            </w:pPr>
            <w:r w:rsidRPr="008256ED">
              <w:rPr>
                <w:b/>
              </w:rPr>
              <w:t>Close</w:t>
            </w:r>
          </w:p>
          <w:p w:rsidR="002701FB" w:rsidRPr="008256ED" w:rsidRDefault="002701FB" w:rsidP="00F123DC">
            <w:pPr>
              <w:spacing w:after="0" w:line="240" w:lineRule="auto"/>
              <w:jc w:val="center"/>
              <w:rPr>
                <w:b/>
              </w:rPr>
            </w:pPr>
            <w:r w:rsidRPr="008256ED">
              <w:rPr>
                <w:b/>
              </w:rPr>
              <w:t>(cents)</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F123DC">
            <w:pPr>
              <w:spacing w:after="0" w:line="240" w:lineRule="auto"/>
              <w:jc w:val="center"/>
              <w:rPr>
                <w:b/>
              </w:rPr>
            </w:pPr>
            <w:r w:rsidRPr="008256ED">
              <w:rPr>
                <w:b/>
              </w:rPr>
              <w:t>Day move (cents)</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F123DC">
            <w:pPr>
              <w:spacing w:after="0" w:line="240" w:lineRule="auto"/>
              <w:jc w:val="center"/>
              <w:rPr>
                <w:b/>
              </w:rPr>
            </w:pPr>
            <w:r w:rsidRPr="008256ED">
              <w:rPr>
                <w:b/>
              </w:rPr>
              <w:t>Day move</w:t>
            </w:r>
          </w:p>
          <w:p w:rsidR="002701FB" w:rsidRPr="008256ED" w:rsidRDefault="002701FB" w:rsidP="00F123DC">
            <w:pPr>
              <w:spacing w:after="0" w:line="240" w:lineRule="auto"/>
              <w:jc w:val="center"/>
              <w:rPr>
                <w:b/>
              </w:rPr>
            </w:pPr>
            <w:r w:rsidRPr="008256ED">
              <w:rPr>
                <w:b/>
              </w:rPr>
              <w:t>(%)</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F123DC">
            <w:pPr>
              <w:spacing w:after="0" w:line="240" w:lineRule="auto"/>
              <w:jc w:val="center"/>
              <w:rPr>
                <w:b/>
              </w:rPr>
            </w:pPr>
            <w:r w:rsidRPr="008256ED">
              <w:rPr>
                <w:b/>
              </w:rPr>
              <w:t>High</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F123DC">
            <w:pPr>
              <w:spacing w:after="0" w:line="240" w:lineRule="auto"/>
              <w:jc w:val="center"/>
              <w:rPr>
                <w:b/>
              </w:rPr>
            </w:pPr>
            <w:r w:rsidRPr="008256ED">
              <w:rPr>
                <w:b/>
              </w:rPr>
              <w:t>Low</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F123DC">
            <w:pPr>
              <w:spacing w:after="0" w:line="240" w:lineRule="auto"/>
              <w:jc w:val="center"/>
              <w:rPr>
                <w:b/>
              </w:rPr>
            </w:pPr>
            <w:r w:rsidRPr="008256ED">
              <w:rPr>
                <w:b/>
              </w:rPr>
              <w:t>Volume traded</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F123DC">
            <w:pPr>
              <w:spacing w:after="0" w:line="240" w:lineRule="auto"/>
              <w:jc w:val="center"/>
              <w:rPr>
                <w:b/>
              </w:rPr>
            </w:pPr>
            <w:r w:rsidRPr="008256ED">
              <w:rPr>
                <w:b/>
              </w:rPr>
              <w:t>12-month</w:t>
            </w:r>
          </w:p>
          <w:p w:rsidR="002701FB" w:rsidRPr="008256ED" w:rsidRDefault="002701FB" w:rsidP="00F123DC">
            <w:pPr>
              <w:spacing w:after="0" w:line="240" w:lineRule="auto"/>
              <w:jc w:val="center"/>
              <w:rPr>
                <w:b/>
              </w:rPr>
            </w:pPr>
            <w:r w:rsidRPr="008256ED">
              <w:rPr>
                <w:b/>
              </w:rPr>
              <w:t>high</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F123DC">
            <w:pPr>
              <w:spacing w:after="0" w:line="240" w:lineRule="auto"/>
              <w:jc w:val="center"/>
              <w:rPr>
                <w:b/>
              </w:rPr>
            </w:pPr>
            <w:r w:rsidRPr="008256ED">
              <w:rPr>
                <w:b/>
              </w:rPr>
              <w:t>12-month</w:t>
            </w:r>
          </w:p>
          <w:p w:rsidR="002701FB" w:rsidRPr="008256ED" w:rsidRDefault="002701FB" w:rsidP="00F123DC">
            <w:pPr>
              <w:spacing w:after="0" w:line="240" w:lineRule="auto"/>
              <w:jc w:val="center"/>
              <w:rPr>
                <w:b/>
              </w:rPr>
            </w:pPr>
            <w:r w:rsidRPr="008256ED">
              <w:rPr>
                <w:b/>
              </w:rPr>
              <w:t>low</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F123DC">
            <w:pPr>
              <w:spacing w:after="0" w:line="240" w:lineRule="auto"/>
              <w:jc w:val="center"/>
              <w:rPr>
                <w:b/>
              </w:rPr>
            </w:pPr>
            <w:r w:rsidRPr="008256ED">
              <w:rPr>
                <w:b/>
              </w:rPr>
              <w:t>Market cap</w:t>
            </w:r>
          </w:p>
          <w:p w:rsidR="002701FB" w:rsidRPr="008256ED" w:rsidRDefault="002701FB" w:rsidP="00F123DC">
            <w:pPr>
              <w:spacing w:after="0" w:line="240" w:lineRule="auto"/>
              <w:jc w:val="center"/>
              <w:rPr>
                <w:b/>
              </w:rPr>
            </w:pPr>
            <w:r w:rsidRPr="008256ED">
              <w:rPr>
                <w:b/>
              </w:rPr>
              <w:t>(R mil)</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F123DC">
            <w:pPr>
              <w:spacing w:after="0" w:line="240" w:lineRule="auto"/>
              <w:jc w:val="center"/>
              <w:rPr>
                <w:b/>
              </w:rPr>
            </w:pPr>
            <w:r w:rsidRPr="008256ED">
              <w:rPr>
                <w:b/>
              </w:rPr>
              <w:t>DY</w:t>
            </w:r>
          </w:p>
        </w:tc>
        <w:tc>
          <w:tcPr>
            <w:tcW w:w="0" w:type="auto"/>
            <w:tcBorders>
              <w:top w:val="single" w:sz="18" w:space="0" w:color="000000"/>
              <w:left w:val="single" w:sz="6" w:space="0" w:color="000000"/>
              <w:bottom w:val="single" w:sz="6" w:space="0" w:color="000000"/>
              <w:right w:val="single" w:sz="18" w:space="0" w:color="000000"/>
            </w:tcBorders>
            <w:tcMar>
              <w:top w:w="28" w:type="dxa"/>
              <w:bottom w:w="28" w:type="dxa"/>
            </w:tcMar>
            <w:vAlign w:val="center"/>
          </w:tcPr>
          <w:p w:rsidR="002701FB" w:rsidRPr="008256ED" w:rsidRDefault="002701FB" w:rsidP="00F123DC">
            <w:pPr>
              <w:spacing w:after="0" w:line="240" w:lineRule="auto"/>
              <w:jc w:val="center"/>
              <w:rPr>
                <w:b/>
              </w:rPr>
            </w:pPr>
            <w:r w:rsidRPr="008256ED">
              <w:rPr>
                <w:b/>
              </w:rPr>
              <w:t>PE ratio</w:t>
            </w:r>
          </w:p>
        </w:tc>
      </w:tr>
      <w:tr w:rsidR="002701FB" w:rsidRPr="008256ED" w:rsidTr="00F123DC">
        <w:tc>
          <w:tcPr>
            <w:tcW w:w="0" w:type="auto"/>
            <w:tcBorders>
              <w:top w:val="single" w:sz="6" w:space="0" w:color="000000"/>
              <w:left w:val="single" w:sz="18" w:space="0" w:color="000000"/>
              <w:bottom w:val="single" w:sz="18" w:space="0" w:color="000000"/>
              <w:right w:val="single" w:sz="6" w:space="0" w:color="000000"/>
            </w:tcBorders>
            <w:tcMar>
              <w:top w:w="28" w:type="dxa"/>
              <w:bottom w:w="28" w:type="dxa"/>
            </w:tcMar>
          </w:tcPr>
          <w:p w:rsidR="002701FB" w:rsidRPr="008256ED" w:rsidRDefault="002701FB" w:rsidP="00F123DC">
            <w:pPr>
              <w:spacing w:after="0"/>
              <w:jc w:val="center"/>
            </w:pPr>
            <w:r w:rsidRPr="008256ED">
              <w:t>T-Max</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F123DC">
            <w:pPr>
              <w:spacing w:after="0"/>
              <w:jc w:val="center"/>
            </w:pPr>
            <w:r w:rsidRPr="008256ED">
              <w:t>9 864</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F123DC">
            <w:pPr>
              <w:spacing w:after="0"/>
              <w:jc w:val="center"/>
            </w:pPr>
            <w:r w:rsidRPr="008256ED">
              <w:t>+ 428</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F123DC">
            <w:pPr>
              <w:spacing w:after="0"/>
              <w:jc w:val="center"/>
            </w:pPr>
            <w:r w:rsidRPr="008256ED">
              <w:t>+ 4,5</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F123DC">
            <w:pPr>
              <w:spacing w:after="0"/>
              <w:jc w:val="center"/>
            </w:pPr>
            <w:r w:rsidRPr="008256ED">
              <w:t>10 002</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F123DC">
            <w:pPr>
              <w:spacing w:after="0"/>
              <w:jc w:val="center"/>
            </w:pPr>
            <w:r w:rsidRPr="008256ED">
              <w:t>9 745</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F123DC">
            <w:pPr>
              <w:spacing w:after="0"/>
              <w:jc w:val="center"/>
            </w:pPr>
            <w:r w:rsidRPr="008256ED">
              <w:t>1 099</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F123DC">
            <w:pPr>
              <w:spacing w:after="0"/>
              <w:jc w:val="center"/>
            </w:pPr>
            <w:r w:rsidRPr="008256ED">
              <w:t>10 300</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F123DC">
            <w:pPr>
              <w:spacing w:after="0"/>
              <w:jc w:val="center"/>
            </w:pPr>
            <w:r w:rsidRPr="008256ED">
              <w:t>7 946</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F123DC">
            <w:pPr>
              <w:spacing w:after="0"/>
              <w:jc w:val="center"/>
            </w:pPr>
            <w:r w:rsidRPr="008256ED">
              <w:t>78 436,7</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F123DC">
            <w:pPr>
              <w:spacing w:after="0"/>
              <w:jc w:val="center"/>
            </w:pPr>
            <w:r w:rsidRPr="008256ED">
              <w:t>3,28</w:t>
            </w:r>
          </w:p>
        </w:tc>
        <w:tc>
          <w:tcPr>
            <w:tcW w:w="0" w:type="auto"/>
            <w:tcBorders>
              <w:top w:val="single" w:sz="6" w:space="0" w:color="000000"/>
              <w:left w:val="single" w:sz="6" w:space="0" w:color="000000"/>
              <w:bottom w:val="single" w:sz="18" w:space="0" w:color="000000"/>
              <w:right w:val="single" w:sz="18" w:space="0" w:color="000000"/>
            </w:tcBorders>
            <w:tcMar>
              <w:top w:w="28" w:type="dxa"/>
              <w:bottom w:w="28" w:type="dxa"/>
            </w:tcMar>
          </w:tcPr>
          <w:p w:rsidR="002701FB" w:rsidRPr="008256ED" w:rsidRDefault="002701FB" w:rsidP="00F123DC">
            <w:pPr>
              <w:spacing w:after="0"/>
              <w:jc w:val="center"/>
            </w:pPr>
            <w:r w:rsidRPr="008256ED">
              <w:t>8,28</w:t>
            </w:r>
          </w:p>
        </w:tc>
      </w:tr>
    </w:tbl>
    <w:p w:rsidR="002701FB" w:rsidRPr="008256ED" w:rsidRDefault="002701FB" w:rsidP="008256ED">
      <w:pPr>
        <w:pStyle w:val="Heading4"/>
      </w:pPr>
    </w:p>
    <w:p w:rsidR="002701FB" w:rsidRPr="008256ED" w:rsidRDefault="002701FB" w:rsidP="008256ED">
      <w:pPr>
        <w:rPr>
          <w:b/>
        </w:rPr>
      </w:pPr>
      <w:r w:rsidRPr="008256ED">
        <w:rPr>
          <w:b/>
        </w:rPr>
        <w:t>AMS Ltd paid a R0</w:t>
      </w:r>
      <w:proofErr w:type="gramStart"/>
      <w:r w:rsidRPr="008256ED">
        <w:rPr>
          <w:b/>
        </w:rPr>
        <w:t>,75</w:t>
      </w:r>
      <w:proofErr w:type="gramEnd"/>
      <w:r w:rsidRPr="008256ED">
        <w:rPr>
          <w:b/>
        </w:rPr>
        <w:t xml:space="preserve"> annual dividend in the CURRENT year. Assuming dividends are expected to grow at a constant rate of 8 per cent and a required rate of return of 11 per cent, calculate the intrinsic value.</w:t>
      </w:r>
    </w:p>
    <w:p w:rsidR="002701FB" w:rsidRPr="008256ED" w:rsidRDefault="002701FB" w:rsidP="008256ED">
      <w:pPr>
        <w:pStyle w:val="Heading4"/>
      </w:pPr>
    </w:p>
    <w:p w:rsidR="002701FB" w:rsidRPr="008256ED" w:rsidRDefault="002701FB" w:rsidP="008256ED">
      <w:pPr>
        <w:rPr>
          <w:b/>
        </w:rPr>
      </w:pPr>
      <w:r w:rsidRPr="008256ED">
        <w:rPr>
          <w:b/>
        </w:rPr>
        <w:t>What does the free cash flow to equity (FCFE) of a company indicate?</w:t>
      </w:r>
    </w:p>
    <w:p w:rsidR="002701FB" w:rsidRPr="008256ED" w:rsidRDefault="002701FB" w:rsidP="008256ED">
      <w:pPr>
        <w:pStyle w:val="Heading4"/>
        <w:rPr>
          <w:lang w:val="en-US"/>
        </w:rPr>
      </w:pPr>
    </w:p>
    <w:p w:rsidR="002701FB" w:rsidRPr="008256ED" w:rsidRDefault="002701FB" w:rsidP="008256ED">
      <w:pPr>
        <w:rPr>
          <w:b/>
          <w:lang w:val="en-US"/>
        </w:rPr>
      </w:pPr>
      <w:r w:rsidRPr="008256ED">
        <w:rPr>
          <w:b/>
          <w:lang w:val="en-US"/>
        </w:rPr>
        <w:t xml:space="preserve">A broker enters a fill-or-kill market order to buy 5200 </w:t>
      </w:r>
      <w:proofErr w:type="spellStart"/>
      <w:r w:rsidRPr="008256ED">
        <w:rPr>
          <w:b/>
          <w:lang w:val="en-US"/>
        </w:rPr>
        <w:t>Protel</w:t>
      </w:r>
      <w:proofErr w:type="spellEnd"/>
      <w:r w:rsidRPr="008256ED">
        <w:rPr>
          <w:b/>
          <w:lang w:val="en-US"/>
        </w:rPr>
        <w:t xml:space="preserve"> shares. The following orders are already on the order book waiting to be executed during continuous trading. How will the new order be managed in the order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2585"/>
        <w:gridCol w:w="2585"/>
      </w:tblGrid>
      <w:tr w:rsidR="002701FB" w:rsidRPr="008256ED" w:rsidTr="00F123DC">
        <w:tc>
          <w:tcPr>
            <w:tcW w:w="7754" w:type="dxa"/>
            <w:gridSpan w:val="3"/>
            <w:tcBorders>
              <w:top w:val="single" w:sz="12" w:space="0" w:color="auto"/>
              <w:left w:val="single" w:sz="12" w:space="0" w:color="auto"/>
              <w:bottom w:val="single" w:sz="12" w:space="0" w:color="auto"/>
              <w:right w:val="single" w:sz="12" w:space="0" w:color="auto"/>
            </w:tcBorders>
          </w:tcPr>
          <w:p w:rsidR="002701FB" w:rsidRPr="008256ED" w:rsidRDefault="002701FB" w:rsidP="00F123DC">
            <w:pPr>
              <w:spacing w:after="0" w:line="240" w:lineRule="auto"/>
              <w:jc w:val="center"/>
              <w:rPr>
                <w:b/>
                <w:lang w:val="en-US"/>
              </w:rPr>
            </w:pPr>
            <w:r w:rsidRPr="008256ED">
              <w:rPr>
                <w:b/>
                <w:lang w:val="en-US"/>
              </w:rPr>
              <w:t>Sell orders</w:t>
            </w:r>
          </w:p>
        </w:tc>
      </w:tr>
      <w:tr w:rsidR="002701FB" w:rsidRPr="008256ED" w:rsidTr="00F123DC">
        <w:tc>
          <w:tcPr>
            <w:tcW w:w="2584" w:type="dxa"/>
            <w:tcBorders>
              <w:top w:val="single" w:sz="12" w:space="0" w:color="auto"/>
              <w:left w:val="single" w:sz="12" w:space="0" w:color="auto"/>
              <w:bottom w:val="single" w:sz="12" w:space="0" w:color="auto"/>
              <w:right w:val="single" w:sz="6" w:space="0" w:color="auto"/>
            </w:tcBorders>
          </w:tcPr>
          <w:p w:rsidR="002701FB" w:rsidRPr="008256ED" w:rsidRDefault="002701FB" w:rsidP="00F123DC">
            <w:pPr>
              <w:spacing w:after="0" w:line="240" w:lineRule="auto"/>
              <w:jc w:val="center"/>
              <w:rPr>
                <w:b/>
                <w:lang w:val="en-US"/>
              </w:rPr>
            </w:pPr>
          </w:p>
        </w:tc>
        <w:tc>
          <w:tcPr>
            <w:tcW w:w="2585" w:type="dxa"/>
            <w:tcBorders>
              <w:top w:val="single" w:sz="12" w:space="0" w:color="auto"/>
              <w:left w:val="single" w:sz="6" w:space="0" w:color="auto"/>
              <w:bottom w:val="single" w:sz="12" w:space="0" w:color="auto"/>
              <w:right w:val="single" w:sz="6" w:space="0" w:color="auto"/>
            </w:tcBorders>
          </w:tcPr>
          <w:p w:rsidR="002701FB" w:rsidRPr="008256ED" w:rsidRDefault="002701FB" w:rsidP="00F123DC">
            <w:pPr>
              <w:spacing w:after="0" w:line="240" w:lineRule="auto"/>
              <w:jc w:val="center"/>
              <w:rPr>
                <w:b/>
                <w:lang w:val="en-US"/>
              </w:rPr>
            </w:pPr>
            <w:r w:rsidRPr="008256ED">
              <w:rPr>
                <w:b/>
                <w:lang w:val="en-US"/>
              </w:rPr>
              <w:t>Price</w:t>
            </w:r>
          </w:p>
        </w:tc>
        <w:tc>
          <w:tcPr>
            <w:tcW w:w="2585" w:type="dxa"/>
            <w:tcBorders>
              <w:top w:val="single" w:sz="12" w:space="0" w:color="auto"/>
              <w:left w:val="single" w:sz="6" w:space="0" w:color="auto"/>
              <w:bottom w:val="single" w:sz="12" w:space="0" w:color="auto"/>
              <w:right w:val="single" w:sz="12" w:space="0" w:color="auto"/>
            </w:tcBorders>
          </w:tcPr>
          <w:p w:rsidR="002701FB" w:rsidRPr="008256ED" w:rsidRDefault="002701FB" w:rsidP="00F123DC">
            <w:pPr>
              <w:spacing w:after="0" w:line="240" w:lineRule="auto"/>
              <w:jc w:val="center"/>
              <w:rPr>
                <w:b/>
                <w:lang w:val="en-US"/>
              </w:rPr>
            </w:pPr>
            <w:r w:rsidRPr="008256ED">
              <w:rPr>
                <w:b/>
                <w:lang w:val="en-US"/>
              </w:rPr>
              <w:t>Size</w:t>
            </w:r>
          </w:p>
        </w:tc>
      </w:tr>
      <w:tr w:rsidR="002701FB" w:rsidRPr="008256ED" w:rsidTr="00F123DC">
        <w:tc>
          <w:tcPr>
            <w:tcW w:w="2584" w:type="dxa"/>
            <w:tcBorders>
              <w:top w:val="single" w:sz="12" w:space="0" w:color="auto"/>
              <w:left w:val="single" w:sz="12" w:space="0" w:color="auto"/>
              <w:bottom w:val="single" w:sz="6" w:space="0" w:color="auto"/>
              <w:right w:val="single" w:sz="6" w:space="0" w:color="auto"/>
            </w:tcBorders>
          </w:tcPr>
          <w:p w:rsidR="002701FB" w:rsidRPr="008256ED" w:rsidRDefault="002701FB" w:rsidP="00F123DC">
            <w:pPr>
              <w:spacing w:after="0" w:line="240" w:lineRule="auto"/>
              <w:rPr>
                <w:lang w:val="en-US"/>
              </w:rPr>
            </w:pPr>
            <w:r w:rsidRPr="008256ED">
              <w:rPr>
                <w:lang w:val="en-US"/>
              </w:rPr>
              <w:t xml:space="preserve">Order A </w:t>
            </w:r>
          </w:p>
        </w:tc>
        <w:tc>
          <w:tcPr>
            <w:tcW w:w="2585" w:type="dxa"/>
            <w:tcBorders>
              <w:top w:val="single" w:sz="12" w:space="0" w:color="auto"/>
              <w:left w:val="single" w:sz="6" w:space="0" w:color="auto"/>
              <w:bottom w:val="single" w:sz="6" w:space="0" w:color="auto"/>
              <w:right w:val="single" w:sz="6" w:space="0" w:color="auto"/>
            </w:tcBorders>
          </w:tcPr>
          <w:p w:rsidR="002701FB" w:rsidRPr="008256ED" w:rsidRDefault="002701FB" w:rsidP="00F123DC">
            <w:pPr>
              <w:spacing w:after="0" w:line="240" w:lineRule="auto"/>
              <w:jc w:val="center"/>
              <w:rPr>
                <w:lang w:val="en-US"/>
              </w:rPr>
            </w:pPr>
            <w:r w:rsidRPr="008256ED">
              <w:rPr>
                <w:lang w:val="en-US"/>
              </w:rPr>
              <w:t>208</w:t>
            </w:r>
          </w:p>
        </w:tc>
        <w:tc>
          <w:tcPr>
            <w:tcW w:w="2585" w:type="dxa"/>
            <w:tcBorders>
              <w:top w:val="single" w:sz="12" w:space="0" w:color="auto"/>
              <w:left w:val="single" w:sz="6" w:space="0" w:color="auto"/>
              <w:bottom w:val="single" w:sz="6" w:space="0" w:color="auto"/>
              <w:right w:val="single" w:sz="12" w:space="0" w:color="auto"/>
            </w:tcBorders>
          </w:tcPr>
          <w:p w:rsidR="002701FB" w:rsidRPr="008256ED" w:rsidRDefault="002701FB" w:rsidP="00F123DC">
            <w:pPr>
              <w:spacing w:after="0" w:line="240" w:lineRule="auto"/>
              <w:jc w:val="center"/>
              <w:rPr>
                <w:lang w:val="en-US"/>
              </w:rPr>
            </w:pPr>
            <w:r w:rsidRPr="008256ED">
              <w:rPr>
                <w:lang w:val="en-US"/>
              </w:rPr>
              <w:t>1 200</w:t>
            </w:r>
          </w:p>
        </w:tc>
      </w:tr>
      <w:tr w:rsidR="002701FB" w:rsidRPr="008256ED" w:rsidTr="00F123DC">
        <w:tc>
          <w:tcPr>
            <w:tcW w:w="2584" w:type="dxa"/>
            <w:tcBorders>
              <w:top w:val="single" w:sz="6" w:space="0" w:color="auto"/>
              <w:left w:val="single" w:sz="12" w:space="0" w:color="auto"/>
              <w:bottom w:val="single" w:sz="6" w:space="0" w:color="auto"/>
              <w:right w:val="single" w:sz="6" w:space="0" w:color="auto"/>
            </w:tcBorders>
          </w:tcPr>
          <w:p w:rsidR="002701FB" w:rsidRPr="008256ED" w:rsidRDefault="002701FB" w:rsidP="00F123DC">
            <w:pPr>
              <w:spacing w:after="0" w:line="240" w:lineRule="auto"/>
              <w:rPr>
                <w:lang w:val="en-US"/>
              </w:rPr>
            </w:pPr>
            <w:r w:rsidRPr="008256ED">
              <w:rPr>
                <w:lang w:val="en-US"/>
              </w:rPr>
              <w:t xml:space="preserve">Order B </w:t>
            </w:r>
          </w:p>
        </w:tc>
        <w:tc>
          <w:tcPr>
            <w:tcW w:w="2585" w:type="dxa"/>
            <w:tcBorders>
              <w:top w:val="single" w:sz="6" w:space="0" w:color="auto"/>
              <w:left w:val="single" w:sz="6" w:space="0" w:color="auto"/>
              <w:bottom w:val="single" w:sz="6" w:space="0" w:color="auto"/>
              <w:right w:val="single" w:sz="6" w:space="0" w:color="auto"/>
            </w:tcBorders>
          </w:tcPr>
          <w:p w:rsidR="002701FB" w:rsidRPr="008256ED" w:rsidRDefault="002701FB" w:rsidP="00F123DC">
            <w:pPr>
              <w:spacing w:after="0" w:line="240" w:lineRule="auto"/>
              <w:jc w:val="center"/>
              <w:rPr>
                <w:lang w:val="en-US"/>
              </w:rPr>
            </w:pPr>
            <w:r w:rsidRPr="008256ED">
              <w:rPr>
                <w:lang w:val="en-US"/>
              </w:rPr>
              <w:t>207</w:t>
            </w:r>
          </w:p>
        </w:tc>
        <w:tc>
          <w:tcPr>
            <w:tcW w:w="2585" w:type="dxa"/>
            <w:tcBorders>
              <w:top w:val="single" w:sz="6" w:space="0" w:color="auto"/>
              <w:left w:val="single" w:sz="6" w:space="0" w:color="auto"/>
              <w:bottom w:val="single" w:sz="6" w:space="0" w:color="auto"/>
              <w:right w:val="single" w:sz="12" w:space="0" w:color="auto"/>
            </w:tcBorders>
          </w:tcPr>
          <w:p w:rsidR="002701FB" w:rsidRPr="008256ED" w:rsidRDefault="002701FB" w:rsidP="00F123DC">
            <w:pPr>
              <w:spacing w:after="0" w:line="240" w:lineRule="auto"/>
              <w:jc w:val="center"/>
              <w:rPr>
                <w:lang w:val="en-US"/>
              </w:rPr>
            </w:pPr>
            <w:r w:rsidRPr="008256ED">
              <w:rPr>
                <w:lang w:val="en-US"/>
              </w:rPr>
              <w:t>1 400</w:t>
            </w:r>
          </w:p>
        </w:tc>
      </w:tr>
      <w:tr w:rsidR="002701FB" w:rsidRPr="008256ED" w:rsidTr="00F123DC">
        <w:tc>
          <w:tcPr>
            <w:tcW w:w="2584" w:type="dxa"/>
            <w:tcBorders>
              <w:top w:val="single" w:sz="6" w:space="0" w:color="auto"/>
              <w:left w:val="single" w:sz="12" w:space="0" w:color="auto"/>
              <w:bottom w:val="single" w:sz="12" w:space="0" w:color="auto"/>
              <w:right w:val="single" w:sz="6" w:space="0" w:color="auto"/>
            </w:tcBorders>
          </w:tcPr>
          <w:p w:rsidR="002701FB" w:rsidRPr="008256ED" w:rsidRDefault="002701FB" w:rsidP="00F123DC">
            <w:pPr>
              <w:spacing w:after="0" w:line="240" w:lineRule="auto"/>
              <w:rPr>
                <w:lang w:val="en-US"/>
              </w:rPr>
            </w:pPr>
            <w:r w:rsidRPr="008256ED">
              <w:rPr>
                <w:lang w:val="en-US"/>
              </w:rPr>
              <w:t>Order C</w:t>
            </w:r>
          </w:p>
        </w:tc>
        <w:tc>
          <w:tcPr>
            <w:tcW w:w="2585" w:type="dxa"/>
            <w:tcBorders>
              <w:top w:val="single" w:sz="6" w:space="0" w:color="auto"/>
              <w:left w:val="single" w:sz="6" w:space="0" w:color="auto"/>
              <w:bottom w:val="single" w:sz="12" w:space="0" w:color="auto"/>
              <w:right w:val="single" w:sz="6" w:space="0" w:color="auto"/>
            </w:tcBorders>
          </w:tcPr>
          <w:p w:rsidR="002701FB" w:rsidRPr="008256ED" w:rsidRDefault="002701FB" w:rsidP="00F123DC">
            <w:pPr>
              <w:spacing w:after="0" w:line="240" w:lineRule="auto"/>
              <w:jc w:val="center"/>
              <w:rPr>
                <w:lang w:val="en-US"/>
              </w:rPr>
            </w:pPr>
            <w:r w:rsidRPr="008256ED">
              <w:rPr>
                <w:lang w:val="en-US"/>
              </w:rPr>
              <w:t>205</w:t>
            </w:r>
          </w:p>
        </w:tc>
        <w:tc>
          <w:tcPr>
            <w:tcW w:w="2585" w:type="dxa"/>
            <w:tcBorders>
              <w:top w:val="single" w:sz="6" w:space="0" w:color="auto"/>
              <w:left w:val="single" w:sz="6" w:space="0" w:color="auto"/>
              <w:bottom w:val="single" w:sz="12" w:space="0" w:color="auto"/>
              <w:right w:val="single" w:sz="12" w:space="0" w:color="auto"/>
            </w:tcBorders>
          </w:tcPr>
          <w:p w:rsidR="002701FB" w:rsidRPr="008256ED" w:rsidRDefault="002701FB" w:rsidP="00F123DC">
            <w:pPr>
              <w:spacing w:after="0" w:line="240" w:lineRule="auto"/>
              <w:jc w:val="center"/>
              <w:rPr>
                <w:lang w:val="en-US"/>
              </w:rPr>
            </w:pPr>
            <w:r w:rsidRPr="008256ED">
              <w:rPr>
                <w:lang w:val="en-US"/>
              </w:rPr>
              <w:t>1 800</w:t>
            </w:r>
          </w:p>
        </w:tc>
      </w:tr>
    </w:tbl>
    <w:p w:rsidR="002701FB" w:rsidRPr="008256ED" w:rsidRDefault="002701FB" w:rsidP="008256ED">
      <w:pPr>
        <w:pStyle w:val="NoSpacing"/>
        <w:rPr>
          <w:rFonts w:asciiTheme="minorHAnsi" w:hAnsiTheme="minorHAnsi"/>
          <w:szCs w:val="22"/>
        </w:rPr>
      </w:pPr>
    </w:p>
    <w:p w:rsidR="002701FB" w:rsidRPr="008256ED" w:rsidRDefault="002701FB" w:rsidP="008256ED">
      <w:pPr>
        <w:pStyle w:val="Heading4"/>
        <w:rPr>
          <w:lang w:val="en-US"/>
        </w:rPr>
      </w:pPr>
    </w:p>
    <w:p w:rsidR="002701FB" w:rsidRPr="008256ED" w:rsidRDefault="002701FB" w:rsidP="008256ED">
      <w:pPr>
        <w:rPr>
          <w:b/>
          <w:lang w:val="en-US"/>
        </w:rPr>
      </w:pPr>
      <w:r w:rsidRPr="008256ED">
        <w:rPr>
          <w:b/>
          <w:lang w:val="en-US"/>
        </w:rPr>
        <w:t>Distinguish between covered and naked short sales.</w:t>
      </w:r>
    </w:p>
    <w:p w:rsidR="002701FB" w:rsidRDefault="002701FB">
      <w:pPr>
        <w:spacing w:after="0" w:line="240" w:lineRule="auto"/>
        <w:rPr>
          <w:b/>
          <w:bCs/>
          <w:smallCaps/>
        </w:rPr>
      </w:pPr>
      <w:r>
        <w:br w:type="page"/>
      </w:r>
    </w:p>
    <w:p w:rsidR="002701FB" w:rsidRPr="002061BC" w:rsidRDefault="002701FB" w:rsidP="00D57FB3">
      <w:pPr>
        <w:pStyle w:val="Heading3"/>
      </w:pPr>
      <w:bookmarkStart w:id="4" w:name="C12TFQ"/>
      <w:r w:rsidRPr="002061BC">
        <w:lastRenderedPageBreak/>
        <w:t xml:space="preserve">  </w:t>
      </w:r>
      <w:bookmarkStart w:id="5" w:name="_Toc320540455"/>
      <w:r w:rsidRPr="002061BC">
        <w:t>True or false questions</w:t>
      </w:r>
      <w:bookmarkEnd w:id="5"/>
    </w:p>
    <w:bookmarkEnd w:id="4"/>
    <w:p w:rsidR="002701FB" w:rsidRPr="00292B10" w:rsidRDefault="002701FB" w:rsidP="00D57FB3">
      <w:pPr>
        <w:ind w:right="-897"/>
        <w:jc w:val="right"/>
        <w:rPr>
          <w:rStyle w:val="Hyperlink"/>
          <w:sz w:val="20"/>
        </w:rPr>
      </w:pPr>
      <w:r>
        <w:rPr>
          <w:sz w:val="20"/>
        </w:rPr>
        <w:fldChar w:fldCharType="begin"/>
      </w:r>
      <w:r>
        <w:rPr>
          <w:sz w:val="20"/>
        </w:rPr>
        <w:instrText xml:space="preserve"> HYPERLINK  \l "AC12TFQ" </w:instrText>
      </w:r>
      <w:r>
        <w:rPr>
          <w:sz w:val="20"/>
        </w:rPr>
        <w:fldChar w:fldCharType="separate"/>
      </w:r>
      <w:r w:rsidRPr="00292B10">
        <w:rPr>
          <w:rStyle w:val="Hyperlink"/>
          <w:sz w:val="20"/>
        </w:rPr>
        <w:t xml:space="preserve">Go to  </w:t>
      </w:r>
      <w:r w:rsidRPr="00292B10">
        <w:rPr>
          <w:rStyle w:val="Hyperlink"/>
          <w:sz w:val="24"/>
        </w:rPr>
        <w:sym w:font="Wingdings" w:char="F0F0"/>
      </w:r>
      <w:r w:rsidRPr="00292B10">
        <w:rPr>
          <w:rStyle w:val="Hyperlink"/>
          <w:sz w:val="20"/>
        </w:rPr>
        <w:t xml:space="preserve"> True/False questions - Memorandum</w:t>
      </w:r>
    </w:p>
    <w:p w:rsidR="002701FB" w:rsidRPr="002061BC" w:rsidRDefault="002701FB" w:rsidP="00D57FB3">
      <w:pPr>
        <w:tabs>
          <w:tab w:val="left" w:pos="7074"/>
        </w:tabs>
        <w:rPr>
          <w:i/>
        </w:rPr>
      </w:pPr>
      <w:r>
        <w:rPr>
          <w:sz w:val="20"/>
        </w:rPr>
        <w:fldChar w:fldCharType="end"/>
      </w:r>
      <w:r w:rsidRPr="002061BC">
        <w:rPr>
          <w:i/>
        </w:rPr>
        <w:t>Read the statements below and indicate whether they are true or false.</w:t>
      </w:r>
      <w:r w:rsidRPr="002061BC">
        <w:rPr>
          <w:i/>
        </w:rPr>
        <w:tab/>
      </w:r>
    </w:p>
    <w:p w:rsidR="002701FB" w:rsidRPr="008256ED" w:rsidRDefault="002701FB" w:rsidP="002701FB">
      <w:pPr>
        <w:pStyle w:val="Heading4"/>
        <w:numPr>
          <w:ilvl w:val="0"/>
          <w:numId w:val="10"/>
        </w:numPr>
      </w:pPr>
    </w:p>
    <w:p w:rsidR="002701FB" w:rsidRPr="008256ED" w:rsidRDefault="002701FB" w:rsidP="008256ED">
      <w:pPr>
        <w:rPr>
          <w:b/>
        </w:rPr>
      </w:pPr>
      <w:r w:rsidRPr="008256ED">
        <w:rPr>
          <w:b/>
        </w:rPr>
        <w:t>The shares of private limited companies may be listed and sold to the general public via stock exchanges.</w:t>
      </w:r>
    </w:p>
    <w:p w:rsidR="002701FB" w:rsidRPr="008256ED" w:rsidRDefault="002701FB" w:rsidP="008256ED">
      <w:pPr>
        <w:pStyle w:val="Heading4"/>
      </w:pPr>
    </w:p>
    <w:p w:rsidR="002701FB" w:rsidRPr="008256ED" w:rsidRDefault="002701FB" w:rsidP="008256ED">
      <w:pPr>
        <w:rPr>
          <w:b/>
        </w:rPr>
      </w:pPr>
      <w:r w:rsidRPr="008256ED">
        <w:rPr>
          <w:b/>
        </w:rPr>
        <w:t>Preference shareholders have the right to choose directors and vote on matters of importance to the company.</w:t>
      </w:r>
    </w:p>
    <w:p w:rsidR="002701FB" w:rsidRPr="008256ED" w:rsidRDefault="002701FB" w:rsidP="008256ED">
      <w:pPr>
        <w:pStyle w:val="Heading4"/>
      </w:pPr>
    </w:p>
    <w:p w:rsidR="002701FB" w:rsidRPr="008256ED" w:rsidRDefault="002701FB" w:rsidP="008256ED">
      <w:pPr>
        <w:rPr>
          <w:b/>
        </w:rPr>
      </w:pPr>
      <w:r w:rsidRPr="008256ED">
        <w:rPr>
          <w:b/>
        </w:rPr>
        <w:t>The prices of exchange-traded funds (ETFs) fluctuate at once in response to changes in their underlying portfolios, thereby offering the same intraday liquidity as other shares traded on exchange.</w:t>
      </w:r>
    </w:p>
    <w:p w:rsidR="002701FB" w:rsidRPr="008256ED" w:rsidRDefault="002701FB" w:rsidP="008256ED">
      <w:pPr>
        <w:pStyle w:val="Heading4"/>
      </w:pPr>
    </w:p>
    <w:p w:rsidR="002701FB" w:rsidRPr="008256ED" w:rsidRDefault="002701FB" w:rsidP="008256ED">
      <w:pPr>
        <w:rPr>
          <w:b/>
        </w:rPr>
      </w:pPr>
      <w:r w:rsidRPr="008256ED">
        <w:rPr>
          <w:b/>
        </w:rPr>
        <w:t>The listing requirements of the JSE stipulate that the CEO of an issuing company may not hold the position of chairman of the board.</w:t>
      </w:r>
    </w:p>
    <w:p w:rsidR="002701FB" w:rsidRPr="008256ED" w:rsidRDefault="002701FB" w:rsidP="008256ED">
      <w:pPr>
        <w:pStyle w:val="Heading4"/>
      </w:pPr>
    </w:p>
    <w:p w:rsidR="002701FB" w:rsidRPr="008256ED" w:rsidRDefault="002701FB" w:rsidP="008256ED">
      <w:pPr>
        <w:rPr>
          <w:b/>
        </w:rPr>
      </w:pPr>
      <w:r w:rsidRPr="008256ED">
        <w:rPr>
          <w:b/>
        </w:rPr>
        <w:t>The earnings yield is the annual earnings per share divided by the market price, which is also equal to the inverse of the dividend yield.</w:t>
      </w:r>
    </w:p>
    <w:p w:rsidR="002701FB" w:rsidRPr="008256ED" w:rsidRDefault="002701FB" w:rsidP="008256ED">
      <w:pPr>
        <w:rPr>
          <w:b/>
          <w:bCs/>
          <w:smallCaps/>
          <w:color w:val="943634"/>
        </w:rPr>
      </w:pPr>
      <w:r w:rsidRPr="008256ED">
        <w:br w:type="page"/>
      </w:r>
    </w:p>
    <w:p w:rsidR="002701FB" w:rsidRDefault="002701FB" w:rsidP="00D57FB3">
      <w:pPr>
        <w:pStyle w:val="Heading3"/>
      </w:pPr>
      <w:bookmarkStart w:id="6" w:name="C12CTCT"/>
      <w:r w:rsidRPr="002061BC">
        <w:lastRenderedPageBreak/>
        <w:t xml:space="preserve">  </w:t>
      </w:r>
      <w:bookmarkStart w:id="7" w:name="_Toc320540456"/>
      <w:r w:rsidRPr="002061BC">
        <w:t>Choose the correct term</w:t>
      </w:r>
      <w:bookmarkEnd w:id="7"/>
    </w:p>
    <w:bookmarkEnd w:id="6"/>
    <w:p w:rsidR="002701FB" w:rsidRPr="00292B10" w:rsidRDefault="002701FB" w:rsidP="00D57FB3">
      <w:pPr>
        <w:tabs>
          <w:tab w:val="left" w:pos="4485"/>
          <w:tab w:val="right" w:pos="10257"/>
        </w:tabs>
        <w:ind w:right="-897"/>
        <w:rPr>
          <w:rStyle w:val="Hyperlink"/>
          <w:sz w:val="20"/>
        </w:rPr>
      </w:pPr>
      <w:r>
        <w:tab/>
      </w:r>
      <w:r>
        <w:tab/>
      </w:r>
      <w:r>
        <w:rPr>
          <w:sz w:val="20"/>
        </w:rPr>
        <w:fldChar w:fldCharType="begin"/>
      </w:r>
      <w:r>
        <w:rPr>
          <w:sz w:val="20"/>
        </w:rPr>
        <w:instrText xml:space="preserve"> HYPERLINK  \l "AC12CTCT" </w:instrText>
      </w:r>
      <w:r>
        <w:rPr>
          <w:sz w:val="20"/>
        </w:rPr>
        <w:fldChar w:fldCharType="separate"/>
      </w:r>
      <w:r w:rsidRPr="00292B10">
        <w:rPr>
          <w:rStyle w:val="Hyperlink"/>
          <w:sz w:val="20"/>
        </w:rPr>
        <w:t xml:space="preserve">Go to  </w:t>
      </w:r>
      <w:r w:rsidRPr="00292B10">
        <w:rPr>
          <w:rStyle w:val="Hyperlink"/>
          <w:sz w:val="24"/>
        </w:rPr>
        <w:sym w:font="Wingdings" w:char="F0F0"/>
      </w:r>
      <w:r w:rsidRPr="00292B10">
        <w:rPr>
          <w:rStyle w:val="Hyperlink"/>
          <w:sz w:val="20"/>
        </w:rPr>
        <w:t xml:space="preserve"> </w:t>
      </w:r>
      <w:proofErr w:type="gramStart"/>
      <w:r w:rsidRPr="00292B10">
        <w:rPr>
          <w:rStyle w:val="Hyperlink"/>
          <w:sz w:val="20"/>
        </w:rPr>
        <w:t>Choose</w:t>
      </w:r>
      <w:proofErr w:type="gramEnd"/>
      <w:r w:rsidRPr="00292B10">
        <w:rPr>
          <w:rStyle w:val="Hyperlink"/>
          <w:sz w:val="20"/>
        </w:rPr>
        <w:t xml:space="preserve"> the correct term - Memorandum</w:t>
      </w:r>
    </w:p>
    <w:p w:rsidR="002701FB" w:rsidRDefault="002701FB" w:rsidP="00D57FB3">
      <w:pPr>
        <w:pBdr>
          <w:bottom w:val="single" w:sz="4" w:space="1" w:color="auto"/>
        </w:pBdr>
        <w:rPr>
          <w:i/>
        </w:rPr>
      </w:pPr>
      <w:r>
        <w:rPr>
          <w:sz w:val="20"/>
        </w:rPr>
        <w:fldChar w:fldCharType="end"/>
      </w:r>
      <w:r w:rsidRPr="002061BC">
        <w:rPr>
          <w:i/>
        </w:rPr>
        <w:t>Select the correct term to make the statement accurate.</w:t>
      </w:r>
    </w:p>
    <w:p w:rsidR="002701FB" w:rsidRPr="008256ED" w:rsidRDefault="002701FB" w:rsidP="002701FB">
      <w:pPr>
        <w:pStyle w:val="Heading4"/>
        <w:numPr>
          <w:ilvl w:val="0"/>
          <w:numId w:val="11"/>
        </w:numPr>
      </w:pPr>
      <w:r w:rsidRPr="008256ED">
        <w:t xml:space="preserve"> </w:t>
      </w:r>
    </w:p>
    <w:p w:rsidR="002701FB" w:rsidRPr="008256ED" w:rsidRDefault="002701FB" w:rsidP="008256ED">
      <w:pPr>
        <w:rPr>
          <w:b/>
        </w:rPr>
      </w:pPr>
      <w:r w:rsidRPr="008256ED">
        <w:rPr>
          <w:b/>
        </w:rPr>
        <w:t xml:space="preserve">South African American Depository Receipts (ADRs) are </w:t>
      </w:r>
      <w:r w:rsidRPr="008256ED">
        <w:rPr>
          <w:b/>
          <w:u w:val="single"/>
        </w:rPr>
        <w:t>USD-</w:t>
      </w:r>
      <w:r w:rsidRPr="008256ED">
        <w:rPr>
          <w:b/>
        </w:rPr>
        <w:t>/</w:t>
      </w:r>
      <w:r w:rsidRPr="008256ED">
        <w:rPr>
          <w:b/>
          <w:u w:val="single"/>
        </w:rPr>
        <w:t>ZAR</w:t>
      </w:r>
      <w:r w:rsidRPr="008256ED">
        <w:rPr>
          <w:b/>
        </w:rPr>
        <w:t xml:space="preserve">-denominated depository receipts representing ownership in South African shares issued by a </w:t>
      </w:r>
      <w:r w:rsidRPr="008256ED">
        <w:rPr>
          <w:b/>
          <w:u w:val="single"/>
        </w:rPr>
        <w:t>US</w:t>
      </w:r>
      <w:r w:rsidRPr="008256ED">
        <w:rPr>
          <w:b/>
        </w:rPr>
        <w:t>/</w:t>
      </w:r>
      <w:r w:rsidRPr="008256ED">
        <w:rPr>
          <w:b/>
          <w:u w:val="single"/>
        </w:rPr>
        <w:t>ZAR</w:t>
      </w:r>
      <w:r w:rsidRPr="008256ED">
        <w:rPr>
          <w:b/>
        </w:rPr>
        <w:t xml:space="preserve"> depository bank.</w:t>
      </w:r>
    </w:p>
    <w:p w:rsidR="002701FB" w:rsidRPr="008256ED" w:rsidRDefault="002701FB" w:rsidP="008256ED">
      <w:pPr>
        <w:pStyle w:val="Heading4"/>
      </w:pPr>
    </w:p>
    <w:p w:rsidR="002701FB" w:rsidRPr="008256ED" w:rsidRDefault="002701FB" w:rsidP="008256ED">
      <w:pPr>
        <w:rPr>
          <w:b/>
        </w:rPr>
      </w:pPr>
      <w:r w:rsidRPr="008256ED">
        <w:rPr>
          <w:b/>
          <w:u w:val="single"/>
        </w:rPr>
        <w:t>Investment banks</w:t>
      </w:r>
      <w:r w:rsidRPr="008256ED">
        <w:rPr>
          <w:b/>
        </w:rPr>
        <w:t>/</w:t>
      </w:r>
      <w:r w:rsidRPr="008256ED">
        <w:rPr>
          <w:b/>
          <w:u w:val="single"/>
        </w:rPr>
        <w:t>venture capitalists</w:t>
      </w:r>
      <w:r w:rsidRPr="008256ED">
        <w:rPr>
          <w:b/>
        </w:rPr>
        <w:t xml:space="preserve"> invest medium- and long-term funds in new and young firms.</w:t>
      </w:r>
    </w:p>
    <w:p w:rsidR="002701FB" w:rsidRPr="008256ED" w:rsidRDefault="002701FB" w:rsidP="008256ED">
      <w:pPr>
        <w:pStyle w:val="Heading4"/>
      </w:pPr>
    </w:p>
    <w:p w:rsidR="002701FB" w:rsidRPr="008256ED" w:rsidRDefault="002701FB" w:rsidP="008256ED">
      <w:pPr>
        <w:rPr>
          <w:b/>
        </w:rPr>
      </w:pPr>
      <w:r w:rsidRPr="008256ED">
        <w:rPr>
          <w:b/>
        </w:rPr>
        <w:t xml:space="preserve">An </w:t>
      </w:r>
      <w:r w:rsidRPr="008256ED">
        <w:rPr>
          <w:b/>
          <w:u w:val="single"/>
        </w:rPr>
        <w:t>offer for sale</w:t>
      </w:r>
      <w:r w:rsidRPr="008256ED">
        <w:rPr>
          <w:b/>
        </w:rPr>
        <w:t>/</w:t>
      </w:r>
      <w:r w:rsidRPr="008256ED">
        <w:rPr>
          <w:b/>
          <w:u w:val="single"/>
        </w:rPr>
        <w:t>placing</w:t>
      </w:r>
      <w:r w:rsidRPr="008256ED">
        <w:rPr>
          <w:b/>
        </w:rPr>
        <w:t xml:space="preserve"> is a share-issuing method that involves offering the shares to a selected base of investors following private negotiations.</w:t>
      </w:r>
    </w:p>
    <w:p w:rsidR="002701FB" w:rsidRPr="008256ED" w:rsidRDefault="002701FB" w:rsidP="008256ED">
      <w:pPr>
        <w:pStyle w:val="Heading4"/>
      </w:pPr>
    </w:p>
    <w:p w:rsidR="002701FB" w:rsidRPr="008256ED" w:rsidRDefault="002701FB" w:rsidP="008256ED">
      <w:pPr>
        <w:rPr>
          <w:b/>
        </w:rPr>
      </w:pPr>
      <w:r w:rsidRPr="008256ED">
        <w:rPr>
          <w:b/>
        </w:rPr>
        <w:t xml:space="preserve">A </w:t>
      </w:r>
      <w:r w:rsidRPr="008256ED">
        <w:rPr>
          <w:b/>
          <w:u w:val="single"/>
        </w:rPr>
        <w:t>market</w:t>
      </w:r>
      <w:r w:rsidRPr="008256ED">
        <w:rPr>
          <w:b/>
        </w:rPr>
        <w:t>/</w:t>
      </w:r>
      <w:r w:rsidRPr="008256ED">
        <w:rPr>
          <w:b/>
          <w:u w:val="single"/>
        </w:rPr>
        <w:t>limit</w:t>
      </w:r>
      <w:r w:rsidRPr="008256ED">
        <w:rPr>
          <w:b/>
        </w:rPr>
        <w:t xml:space="preserve"> order is an order to buy or a sell a specified number of shares to be executed immediately at any price but at a stipulated volume.</w:t>
      </w:r>
    </w:p>
    <w:p w:rsidR="002701FB" w:rsidRPr="008256ED" w:rsidRDefault="002701FB" w:rsidP="008256ED">
      <w:pPr>
        <w:pStyle w:val="Heading4"/>
      </w:pPr>
    </w:p>
    <w:p w:rsidR="002701FB" w:rsidRPr="008256ED" w:rsidRDefault="002701FB" w:rsidP="008256ED">
      <w:pPr>
        <w:rPr>
          <w:b/>
        </w:rPr>
      </w:pPr>
      <w:r w:rsidRPr="008256ED">
        <w:rPr>
          <w:b/>
        </w:rPr>
        <w:t xml:space="preserve">If an investor enters into a short sale, he or she believes that the price of the share will </w:t>
      </w:r>
      <w:r w:rsidRPr="008256ED">
        <w:rPr>
          <w:b/>
          <w:u w:val="single"/>
        </w:rPr>
        <w:t>fall</w:t>
      </w:r>
      <w:r w:rsidRPr="008256ED">
        <w:rPr>
          <w:b/>
        </w:rPr>
        <w:t>/</w:t>
      </w:r>
      <w:r w:rsidRPr="008256ED">
        <w:rPr>
          <w:b/>
          <w:u w:val="single"/>
        </w:rPr>
        <w:t>rise</w:t>
      </w:r>
      <w:r w:rsidRPr="008256ED">
        <w:rPr>
          <w:b/>
        </w:rPr>
        <w:t>.</w:t>
      </w:r>
    </w:p>
    <w:p w:rsidR="002701FB" w:rsidRDefault="002701FB" w:rsidP="00255E07"/>
    <w:p w:rsidR="002701FB" w:rsidRDefault="002701FB" w:rsidP="00255E07"/>
    <w:p w:rsidR="002701FB" w:rsidRDefault="002701FB" w:rsidP="00D624AD">
      <w:pPr>
        <w:pStyle w:val="Heading2"/>
        <w:sectPr w:rsidR="002701FB" w:rsidSect="00377310">
          <w:footerReference w:type="default" r:id="rId8"/>
          <w:type w:val="continuous"/>
          <w:pgSz w:w="11906" w:h="16838"/>
          <w:pgMar w:top="1440" w:right="1440" w:bottom="1440" w:left="1440" w:header="709" w:footer="709" w:gutter="0"/>
          <w:cols w:space="708"/>
          <w:docGrid w:linePitch="360"/>
        </w:sectPr>
      </w:pPr>
    </w:p>
    <w:p w:rsidR="002701FB" w:rsidRDefault="002701FB" w:rsidP="00377310">
      <w:pPr>
        <w:sectPr w:rsidR="002701FB" w:rsidSect="0078598B">
          <w:footerReference w:type="default" r:id="rId9"/>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2701FB" w:rsidRPr="002061BC" w:rsidRDefault="002701FB" w:rsidP="00D624AD">
      <w:pPr>
        <w:pStyle w:val="Heading1"/>
      </w:pPr>
      <w:r>
        <w:lastRenderedPageBreak/>
        <w:t>Chapter 12 - Memorandum</w:t>
      </w:r>
    </w:p>
    <w:p w:rsidR="002701FB" w:rsidRPr="002061BC" w:rsidRDefault="002701FB" w:rsidP="005B4EB3">
      <w:pPr>
        <w:pStyle w:val="Heading3"/>
        <w:tabs>
          <w:tab w:val="left" w:pos="6131"/>
        </w:tabs>
      </w:pPr>
      <w:bookmarkStart w:id="8" w:name="AC12MCQ"/>
      <w:r w:rsidRPr="002061BC">
        <w:t xml:space="preserve">  </w:t>
      </w:r>
      <w:bookmarkStart w:id="9" w:name="_Toc320540597"/>
      <w:r w:rsidRPr="002061BC">
        <w:t>Multiple-choice questions</w:t>
      </w:r>
      <w:bookmarkEnd w:id="9"/>
      <w:r w:rsidRPr="002061BC">
        <w:tab/>
      </w:r>
    </w:p>
    <w:bookmarkEnd w:id="8"/>
    <w:p w:rsidR="002701FB" w:rsidRPr="00292B10" w:rsidRDefault="002701FB" w:rsidP="005B4EB3">
      <w:pPr>
        <w:ind w:right="-897"/>
        <w:jc w:val="right"/>
        <w:rPr>
          <w:rStyle w:val="Hyperlink"/>
          <w:sz w:val="20"/>
        </w:rPr>
      </w:pPr>
      <w:r>
        <w:rPr>
          <w:sz w:val="20"/>
        </w:rPr>
        <w:fldChar w:fldCharType="begin"/>
      </w:r>
      <w:r>
        <w:rPr>
          <w:sz w:val="20"/>
        </w:rPr>
        <w:instrText xml:space="preserve"> HYPERLINK  \l "C12MCQ" </w:instrText>
      </w:r>
      <w:r>
        <w:rPr>
          <w:sz w:val="20"/>
        </w:rPr>
        <w:fldChar w:fldCharType="separate"/>
      </w:r>
      <w:r w:rsidRPr="00292B10">
        <w:rPr>
          <w:rStyle w:val="Hyperlink"/>
          <w:sz w:val="20"/>
        </w:rPr>
        <w:t xml:space="preserve">Go back to  </w:t>
      </w:r>
      <w:r>
        <w:rPr>
          <w:rStyle w:val="Hyperlink"/>
          <w:sz w:val="20"/>
        </w:rPr>
        <w:sym w:font="Wingdings" w:char="F0EF"/>
      </w:r>
      <w:r w:rsidRPr="00292B10">
        <w:rPr>
          <w:rStyle w:val="Hyperlink"/>
          <w:sz w:val="20"/>
        </w:rPr>
        <w:t xml:space="preserve"> </w:t>
      </w:r>
      <w:proofErr w:type="gramStart"/>
      <w:r w:rsidRPr="00292B10">
        <w:rPr>
          <w:rStyle w:val="Hyperlink"/>
          <w:sz w:val="20"/>
        </w:rPr>
        <w:t>Multiple</w:t>
      </w:r>
      <w:proofErr w:type="gramEnd"/>
      <w:r w:rsidRPr="00292B10">
        <w:rPr>
          <w:rStyle w:val="Hyperlink"/>
          <w:sz w:val="20"/>
        </w:rPr>
        <w:t xml:space="preserve"> choice questions </w:t>
      </w:r>
    </w:p>
    <w:p w:rsidR="002701FB" w:rsidRPr="002061BC" w:rsidRDefault="002701FB" w:rsidP="005B4EB3">
      <w:pPr>
        <w:rPr>
          <w:i/>
        </w:rPr>
      </w:pPr>
      <w:r>
        <w:rPr>
          <w:sz w:val="20"/>
        </w:rPr>
        <w:fldChar w:fldCharType="end"/>
      </w:r>
      <w:r w:rsidRPr="002061BC">
        <w:rPr>
          <w:i/>
        </w:rPr>
        <w:t>Answer the following questions by selecting the appropriate answer from the list below.</w:t>
      </w:r>
    </w:p>
    <w:p w:rsidR="002701FB" w:rsidRPr="008256ED" w:rsidRDefault="002701FB" w:rsidP="002701FB">
      <w:pPr>
        <w:pStyle w:val="Heading4"/>
        <w:numPr>
          <w:ilvl w:val="0"/>
          <w:numId w:val="23"/>
        </w:numPr>
      </w:pPr>
    </w:p>
    <w:p w:rsidR="002701FB" w:rsidRPr="006E57DA" w:rsidRDefault="002701FB" w:rsidP="005B4EB3">
      <w:pPr>
        <w:rPr>
          <w:b/>
        </w:rPr>
      </w:pPr>
      <w:r w:rsidRPr="006E57DA">
        <w:rPr>
          <w:b/>
        </w:rPr>
        <w:t>Market capitalisation can be defined as which ONE of the following?</w:t>
      </w:r>
    </w:p>
    <w:p w:rsidR="002701FB" w:rsidRPr="008256ED" w:rsidRDefault="002701FB" w:rsidP="002701FB">
      <w:pPr>
        <w:pStyle w:val="ListParagraph"/>
        <w:numPr>
          <w:ilvl w:val="0"/>
          <w:numId w:val="24"/>
        </w:numPr>
      </w:pPr>
      <w:r w:rsidRPr="008256ED">
        <w:t>The total number of authorised shares multiplied by the current share price</w:t>
      </w:r>
    </w:p>
    <w:p w:rsidR="002701FB" w:rsidRPr="008256ED" w:rsidRDefault="002701FB" w:rsidP="002701FB">
      <w:pPr>
        <w:pStyle w:val="ListParagraph"/>
        <w:numPr>
          <w:ilvl w:val="0"/>
          <w:numId w:val="24"/>
        </w:numPr>
      </w:pPr>
      <w:r w:rsidRPr="008256ED">
        <w:t>The total number of authorised shares multiplied by the fair value share price</w:t>
      </w:r>
    </w:p>
    <w:p w:rsidR="002701FB" w:rsidRPr="008256ED" w:rsidRDefault="002701FB" w:rsidP="002701FB">
      <w:pPr>
        <w:pStyle w:val="ListParagraph"/>
        <w:numPr>
          <w:ilvl w:val="0"/>
          <w:numId w:val="24"/>
        </w:numPr>
      </w:pPr>
      <w:r w:rsidRPr="008256ED">
        <w:t>The total number of issued shares multiplied by the book value share price</w:t>
      </w:r>
    </w:p>
    <w:p w:rsidR="002701FB" w:rsidRPr="006E57DA" w:rsidRDefault="002701FB" w:rsidP="002701FB">
      <w:pPr>
        <w:pStyle w:val="ListParagraph"/>
        <w:numPr>
          <w:ilvl w:val="0"/>
          <w:numId w:val="24"/>
        </w:numPr>
        <w:shd w:val="clear" w:color="auto" w:fill="FFFF66"/>
      </w:pPr>
      <w:r w:rsidRPr="006E57DA">
        <w:t xml:space="preserve">The total number of issued shares multiplied by the current share price </w:t>
      </w:r>
    </w:p>
    <w:p w:rsidR="002701FB" w:rsidRPr="008256ED" w:rsidRDefault="002701FB" w:rsidP="005B4EB3">
      <w:pPr>
        <w:pStyle w:val="Heading4"/>
      </w:pPr>
    </w:p>
    <w:p w:rsidR="002701FB" w:rsidRPr="006E57DA" w:rsidRDefault="002701FB" w:rsidP="005B4EB3">
      <w:pPr>
        <w:rPr>
          <w:b/>
        </w:rPr>
      </w:pPr>
      <w:r w:rsidRPr="006E57DA">
        <w:rPr>
          <w:b/>
        </w:rPr>
        <w:t>Which ONE of the following types of preference share can be exchanged for ordinary shares on specified terms?</w:t>
      </w:r>
    </w:p>
    <w:p w:rsidR="002701FB" w:rsidRPr="008256ED" w:rsidRDefault="002701FB" w:rsidP="002701FB">
      <w:pPr>
        <w:pStyle w:val="ListParagraph"/>
        <w:numPr>
          <w:ilvl w:val="0"/>
          <w:numId w:val="25"/>
        </w:numPr>
      </w:pPr>
      <w:r w:rsidRPr="008256ED">
        <w:t>Redeemable preference shares</w:t>
      </w:r>
    </w:p>
    <w:p w:rsidR="002701FB" w:rsidRPr="006E57DA" w:rsidRDefault="002701FB" w:rsidP="002701FB">
      <w:pPr>
        <w:pStyle w:val="ListParagraph"/>
        <w:numPr>
          <w:ilvl w:val="0"/>
          <w:numId w:val="25"/>
        </w:numPr>
        <w:shd w:val="clear" w:color="auto" w:fill="FFFF66"/>
      </w:pPr>
      <w:r w:rsidRPr="006E57DA">
        <w:t>Convertible preference shares</w:t>
      </w:r>
    </w:p>
    <w:p w:rsidR="002701FB" w:rsidRPr="008256ED" w:rsidRDefault="002701FB" w:rsidP="002701FB">
      <w:pPr>
        <w:pStyle w:val="ListParagraph"/>
        <w:numPr>
          <w:ilvl w:val="0"/>
          <w:numId w:val="25"/>
        </w:numPr>
      </w:pPr>
      <w:r w:rsidRPr="008256ED">
        <w:t>Participating preference shares</w:t>
      </w:r>
    </w:p>
    <w:p w:rsidR="002701FB" w:rsidRPr="008256ED" w:rsidRDefault="002701FB" w:rsidP="002701FB">
      <w:pPr>
        <w:pStyle w:val="ListParagraph"/>
        <w:numPr>
          <w:ilvl w:val="0"/>
          <w:numId w:val="25"/>
        </w:numPr>
      </w:pPr>
      <w:r w:rsidRPr="008256ED">
        <w:t>Cumulative preference shares</w:t>
      </w:r>
    </w:p>
    <w:p w:rsidR="002701FB" w:rsidRPr="008256ED" w:rsidRDefault="002701FB" w:rsidP="005B4EB3">
      <w:pPr>
        <w:pStyle w:val="Heading4"/>
      </w:pPr>
    </w:p>
    <w:p w:rsidR="002701FB" w:rsidRPr="008256ED" w:rsidRDefault="002701FB" w:rsidP="005B4EB3">
      <w:r w:rsidRPr="008256ED">
        <w:t>Which ONE of the following is the key difference between ordinary and preference shares?</w:t>
      </w:r>
    </w:p>
    <w:p w:rsidR="002701FB" w:rsidRPr="008256ED" w:rsidRDefault="002701FB" w:rsidP="002701FB">
      <w:pPr>
        <w:pStyle w:val="ListParagraph"/>
        <w:numPr>
          <w:ilvl w:val="0"/>
          <w:numId w:val="26"/>
        </w:numPr>
        <w:spacing w:before="120"/>
      </w:pPr>
      <w:r w:rsidRPr="008256ED">
        <w:t xml:space="preserve">The tax treatment of dividends received by the shareholder </w:t>
      </w:r>
    </w:p>
    <w:p w:rsidR="002701FB" w:rsidRPr="006E57DA" w:rsidRDefault="002701FB" w:rsidP="002701FB">
      <w:pPr>
        <w:pStyle w:val="ListParagraph"/>
        <w:numPr>
          <w:ilvl w:val="0"/>
          <w:numId w:val="26"/>
        </w:numPr>
        <w:shd w:val="clear" w:color="auto" w:fill="FFFF66"/>
        <w:spacing w:before="120"/>
      </w:pPr>
      <w:r w:rsidRPr="006E57DA">
        <w:t>Priority in terms of rights to distribution of earnings</w:t>
      </w:r>
    </w:p>
    <w:p w:rsidR="002701FB" w:rsidRPr="008256ED" w:rsidRDefault="002701FB" w:rsidP="002701FB">
      <w:pPr>
        <w:pStyle w:val="ListParagraph"/>
        <w:numPr>
          <w:ilvl w:val="0"/>
          <w:numId w:val="26"/>
        </w:numPr>
        <w:spacing w:before="120"/>
      </w:pPr>
      <w:r w:rsidRPr="008256ED">
        <w:t xml:space="preserve">The tax treatment of dividends paid by the issuing company </w:t>
      </w:r>
    </w:p>
    <w:p w:rsidR="002701FB" w:rsidRPr="008256ED" w:rsidRDefault="002701FB" w:rsidP="002701FB">
      <w:pPr>
        <w:pStyle w:val="ListParagraph"/>
        <w:numPr>
          <w:ilvl w:val="0"/>
          <w:numId w:val="26"/>
        </w:numPr>
        <w:spacing w:before="120"/>
      </w:pPr>
      <w:r w:rsidRPr="008256ED">
        <w:t>Shareholder liability in the event of liquidation of the issuing company</w:t>
      </w:r>
    </w:p>
    <w:p w:rsidR="002701FB" w:rsidRDefault="002701FB" w:rsidP="005B4EB3">
      <w:pPr>
        <w:spacing w:after="0" w:line="240" w:lineRule="auto"/>
        <w:rPr>
          <w:b/>
          <w:bCs/>
        </w:rPr>
      </w:pPr>
      <w:r>
        <w:br w:type="page"/>
      </w:r>
    </w:p>
    <w:p w:rsidR="002701FB" w:rsidRPr="008256ED" w:rsidRDefault="002701FB" w:rsidP="005B4EB3">
      <w:pPr>
        <w:pStyle w:val="Heading4"/>
      </w:pPr>
    </w:p>
    <w:p w:rsidR="002701FB" w:rsidRPr="006E57DA" w:rsidRDefault="002701FB" w:rsidP="005B4EB3">
      <w:pPr>
        <w:rPr>
          <w:b/>
        </w:rPr>
      </w:pPr>
      <w:proofErr w:type="spellStart"/>
      <w:r w:rsidRPr="006E57DA">
        <w:rPr>
          <w:b/>
        </w:rPr>
        <w:t>Tandiwe</w:t>
      </w:r>
      <w:proofErr w:type="spellEnd"/>
      <w:r w:rsidRPr="006E57DA">
        <w:rPr>
          <w:b/>
        </w:rPr>
        <w:t xml:space="preserve"> (Pty) Ltd is registered as a trading services provider (TSP) with the JSE. Which ONE of the following actions is this JSE </w:t>
      </w:r>
      <w:proofErr w:type="gramStart"/>
      <w:r w:rsidRPr="006E57DA">
        <w:rPr>
          <w:b/>
        </w:rPr>
        <w:t>member company</w:t>
      </w:r>
      <w:proofErr w:type="gramEnd"/>
      <w:r w:rsidRPr="006E57DA">
        <w:rPr>
          <w:b/>
        </w:rPr>
        <w:t xml:space="preserve"> allowed to perform?</w:t>
      </w:r>
    </w:p>
    <w:p w:rsidR="002701FB" w:rsidRPr="006E57DA" w:rsidRDefault="002701FB" w:rsidP="002701FB">
      <w:pPr>
        <w:pStyle w:val="ListParagraph"/>
        <w:numPr>
          <w:ilvl w:val="0"/>
          <w:numId w:val="27"/>
        </w:numPr>
        <w:shd w:val="clear" w:color="auto" w:fill="FFFF66"/>
      </w:pPr>
      <w:r w:rsidRPr="006E57DA">
        <w:t>Buying and selling of equity securities for own account and on behalf of clients</w:t>
      </w:r>
    </w:p>
    <w:p w:rsidR="002701FB" w:rsidRPr="008256ED" w:rsidRDefault="002701FB" w:rsidP="002701FB">
      <w:pPr>
        <w:pStyle w:val="ListParagraph"/>
        <w:numPr>
          <w:ilvl w:val="0"/>
          <w:numId w:val="27"/>
        </w:numPr>
      </w:pPr>
      <w:r w:rsidRPr="008256ED">
        <w:t>Exercising discretion in the management of JSE-authorised investments on behalf of clients</w:t>
      </w:r>
    </w:p>
    <w:p w:rsidR="002701FB" w:rsidRPr="008256ED" w:rsidRDefault="002701FB" w:rsidP="002701FB">
      <w:pPr>
        <w:pStyle w:val="ListParagraph"/>
        <w:numPr>
          <w:ilvl w:val="0"/>
          <w:numId w:val="27"/>
        </w:numPr>
      </w:pPr>
      <w:r w:rsidRPr="008256ED">
        <w:t>Exercising control over dematerialised JSE-listed securities traded on the JSE equity division</w:t>
      </w:r>
    </w:p>
    <w:p w:rsidR="002701FB" w:rsidRDefault="002701FB" w:rsidP="002701FB">
      <w:pPr>
        <w:pStyle w:val="ListParagraph"/>
        <w:numPr>
          <w:ilvl w:val="0"/>
          <w:numId w:val="27"/>
        </w:numPr>
      </w:pPr>
      <w:r w:rsidRPr="008256ED">
        <w:t>Safeguarding funds intended for the purchase of equity securities on behalf of clients</w:t>
      </w:r>
    </w:p>
    <w:p w:rsidR="002701FB" w:rsidRPr="008256ED" w:rsidRDefault="002701FB" w:rsidP="005B4EB3">
      <w:pPr>
        <w:pStyle w:val="Heading4"/>
        <w:rPr>
          <w:color w:val="17365D"/>
          <w:lang w:val="en-US"/>
        </w:rPr>
      </w:pPr>
    </w:p>
    <w:p w:rsidR="002701FB" w:rsidRPr="006E57DA" w:rsidRDefault="002701FB" w:rsidP="005B4EB3">
      <w:pPr>
        <w:rPr>
          <w:b/>
          <w:lang w:val="en-US"/>
        </w:rPr>
      </w:pPr>
      <w:r w:rsidRPr="006E57DA">
        <w:rPr>
          <w:b/>
          <w:lang w:val="en-US"/>
        </w:rPr>
        <w:t>Which of the following statements with regard to the general principles on which the listing requirements of the JSE are built are correct?</w:t>
      </w:r>
    </w:p>
    <w:p w:rsidR="002701FB" w:rsidRPr="008256ED" w:rsidRDefault="002701FB" w:rsidP="002701FB">
      <w:pPr>
        <w:pStyle w:val="ListParagraph"/>
        <w:numPr>
          <w:ilvl w:val="0"/>
          <w:numId w:val="28"/>
        </w:numPr>
        <w:spacing w:after="120" w:line="276" w:lineRule="auto"/>
        <w:contextualSpacing w:val="0"/>
        <w:jc w:val="both"/>
        <w:rPr>
          <w:lang w:val="en-US"/>
        </w:rPr>
      </w:pPr>
      <w:r w:rsidRPr="008256ED">
        <w:rPr>
          <w:lang w:val="en-US"/>
        </w:rPr>
        <w:t>The public must be satisfied that it is appropriate for the securities of the issuing company to be listed.</w:t>
      </w:r>
    </w:p>
    <w:p w:rsidR="002701FB" w:rsidRPr="008256ED" w:rsidRDefault="002701FB" w:rsidP="002701FB">
      <w:pPr>
        <w:pStyle w:val="ListParagraph"/>
        <w:numPr>
          <w:ilvl w:val="0"/>
          <w:numId w:val="28"/>
        </w:numPr>
        <w:spacing w:after="120" w:line="276" w:lineRule="auto"/>
        <w:ind w:left="360" w:hanging="360"/>
        <w:contextualSpacing w:val="0"/>
        <w:jc w:val="both"/>
        <w:rPr>
          <w:lang w:val="en-US"/>
        </w:rPr>
      </w:pPr>
      <w:r w:rsidRPr="008256ED">
        <w:rPr>
          <w:lang w:val="en-US"/>
        </w:rPr>
        <w:t>Collective investment schemes holding shares should receive preferential treatment in terms of voting rights.</w:t>
      </w:r>
    </w:p>
    <w:p w:rsidR="002701FB" w:rsidRPr="006E57DA" w:rsidRDefault="002701FB" w:rsidP="002701FB">
      <w:pPr>
        <w:pStyle w:val="ListParagraph"/>
        <w:numPr>
          <w:ilvl w:val="0"/>
          <w:numId w:val="28"/>
        </w:numPr>
        <w:shd w:val="clear" w:color="auto" w:fill="FFFF66"/>
        <w:spacing w:after="120" w:line="276" w:lineRule="auto"/>
        <w:ind w:left="360" w:hanging="360"/>
        <w:contextualSpacing w:val="0"/>
        <w:jc w:val="both"/>
        <w:rPr>
          <w:lang w:val="en-US"/>
        </w:rPr>
      </w:pPr>
      <w:r w:rsidRPr="006E57DA">
        <w:rPr>
          <w:lang w:val="en-US"/>
        </w:rPr>
        <w:t>All material activities of the issuing company should be disclosed to the shareholders and the public.</w:t>
      </w:r>
    </w:p>
    <w:p w:rsidR="002701FB" w:rsidRPr="006E57DA" w:rsidRDefault="002701FB" w:rsidP="002701FB">
      <w:pPr>
        <w:pStyle w:val="ListParagraph"/>
        <w:numPr>
          <w:ilvl w:val="0"/>
          <w:numId w:val="28"/>
        </w:numPr>
        <w:shd w:val="clear" w:color="auto" w:fill="FFFF66"/>
        <w:spacing w:after="120" w:line="276" w:lineRule="auto"/>
        <w:ind w:left="360" w:hanging="360"/>
        <w:contextualSpacing w:val="0"/>
        <w:jc w:val="both"/>
        <w:rPr>
          <w:lang w:val="en-US"/>
        </w:rPr>
      </w:pPr>
      <w:r w:rsidRPr="006E57DA">
        <w:rPr>
          <w:lang w:val="en-US"/>
        </w:rPr>
        <w:t>The listing requirements and the continuing obligations should promote investor confidence in the market.</w:t>
      </w:r>
    </w:p>
    <w:p w:rsidR="002701FB" w:rsidRPr="008256ED" w:rsidRDefault="002701FB" w:rsidP="005B4EB3">
      <w:pPr>
        <w:pStyle w:val="NoSpacing"/>
        <w:rPr>
          <w:rFonts w:asciiTheme="minorHAnsi" w:hAnsiTheme="minorHAnsi"/>
          <w:szCs w:val="22"/>
          <w:lang w:val="en-US"/>
        </w:rPr>
      </w:pPr>
    </w:p>
    <w:p w:rsidR="002701FB" w:rsidRPr="008256ED" w:rsidRDefault="002701FB" w:rsidP="002701FB">
      <w:pPr>
        <w:pStyle w:val="ListParagraph"/>
        <w:numPr>
          <w:ilvl w:val="0"/>
          <w:numId w:val="29"/>
        </w:numPr>
      </w:pPr>
      <w:r>
        <w:t xml:space="preserve">(i) </w:t>
      </w:r>
      <w:r w:rsidRPr="008256ED">
        <w:t>and (ii) only</w:t>
      </w:r>
    </w:p>
    <w:p w:rsidR="002701FB" w:rsidRPr="00D311E4" w:rsidRDefault="002701FB" w:rsidP="002701FB">
      <w:pPr>
        <w:pStyle w:val="ListParagraph"/>
        <w:numPr>
          <w:ilvl w:val="0"/>
          <w:numId w:val="29"/>
        </w:numPr>
        <w:shd w:val="clear" w:color="auto" w:fill="FFFF66"/>
      </w:pPr>
      <w:r w:rsidRPr="00D311E4">
        <w:t>(iii) and (iv) only</w:t>
      </w:r>
    </w:p>
    <w:p w:rsidR="002701FB" w:rsidRPr="008256ED" w:rsidRDefault="002701FB" w:rsidP="002701FB">
      <w:pPr>
        <w:pStyle w:val="ListParagraph"/>
        <w:numPr>
          <w:ilvl w:val="0"/>
          <w:numId w:val="29"/>
        </w:numPr>
      </w:pPr>
      <w:r w:rsidRPr="008256ED">
        <w:t>(i), (ii) and (iii) only</w:t>
      </w:r>
    </w:p>
    <w:p w:rsidR="002701FB" w:rsidRPr="008256ED" w:rsidRDefault="002701FB" w:rsidP="002701FB">
      <w:pPr>
        <w:pStyle w:val="ListParagraph"/>
        <w:numPr>
          <w:ilvl w:val="0"/>
          <w:numId w:val="29"/>
        </w:numPr>
      </w:pPr>
      <w:r w:rsidRPr="008256ED">
        <w:t>(i), (iii) and (iv) only</w:t>
      </w:r>
    </w:p>
    <w:p w:rsidR="002701FB" w:rsidRPr="008256ED" w:rsidRDefault="002701FB" w:rsidP="005B4EB3">
      <w:pPr>
        <w:pStyle w:val="Heading4"/>
        <w:rPr>
          <w:lang w:val="en-US"/>
        </w:rPr>
      </w:pPr>
      <w:r w:rsidRPr="008256ED">
        <w:rPr>
          <w:lang w:val="en-US"/>
        </w:rPr>
        <w:t xml:space="preserve"> </w:t>
      </w:r>
    </w:p>
    <w:p w:rsidR="002701FB" w:rsidRPr="00D311E4" w:rsidRDefault="002701FB" w:rsidP="005B4EB3">
      <w:pPr>
        <w:rPr>
          <w:b/>
          <w:lang w:val="en-US"/>
        </w:rPr>
      </w:pPr>
      <w:r w:rsidRPr="00D311E4">
        <w:rPr>
          <w:b/>
          <w:lang w:val="en-US"/>
        </w:rPr>
        <w:t xml:space="preserve">The minimum share capital requirement for listing on the </w:t>
      </w:r>
      <w:proofErr w:type="spellStart"/>
      <w:r w:rsidRPr="00D311E4">
        <w:rPr>
          <w:b/>
          <w:lang w:val="en-US"/>
        </w:rPr>
        <w:t>Alt</w:t>
      </w:r>
      <w:r w:rsidRPr="00D311E4">
        <w:rPr>
          <w:b/>
          <w:vertAlign w:val="superscript"/>
          <w:lang w:val="en-US"/>
        </w:rPr>
        <w:t>X</w:t>
      </w:r>
      <w:proofErr w:type="spellEnd"/>
      <w:r w:rsidRPr="00D311E4">
        <w:rPr>
          <w:b/>
          <w:lang w:val="en-US"/>
        </w:rPr>
        <w:t xml:space="preserve"> board of the JSE is</w:t>
      </w:r>
    </w:p>
    <w:p w:rsidR="002701FB" w:rsidRPr="00D311E4" w:rsidRDefault="002701FB" w:rsidP="002701FB">
      <w:pPr>
        <w:pStyle w:val="ListParagraph"/>
        <w:numPr>
          <w:ilvl w:val="0"/>
          <w:numId w:val="30"/>
        </w:numPr>
        <w:rPr>
          <w:lang w:val="en-US"/>
        </w:rPr>
      </w:pPr>
      <w:r w:rsidRPr="00D311E4">
        <w:rPr>
          <w:lang w:val="en-US"/>
        </w:rPr>
        <w:t>R0,5 million</w:t>
      </w:r>
    </w:p>
    <w:p w:rsidR="002701FB" w:rsidRPr="00D311E4" w:rsidRDefault="002701FB" w:rsidP="002701FB">
      <w:pPr>
        <w:pStyle w:val="ListParagraph"/>
        <w:numPr>
          <w:ilvl w:val="0"/>
          <w:numId w:val="30"/>
        </w:numPr>
        <w:rPr>
          <w:lang w:val="en-US"/>
        </w:rPr>
      </w:pPr>
      <w:r w:rsidRPr="00D311E4">
        <w:rPr>
          <w:lang w:val="en-US"/>
        </w:rPr>
        <w:t>R1 million</w:t>
      </w:r>
    </w:p>
    <w:p w:rsidR="002701FB" w:rsidRPr="00D311E4" w:rsidRDefault="002701FB" w:rsidP="002701FB">
      <w:pPr>
        <w:pStyle w:val="ListParagraph"/>
        <w:numPr>
          <w:ilvl w:val="0"/>
          <w:numId w:val="30"/>
        </w:numPr>
        <w:shd w:val="clear" w:color="auto" w:fill="FFFF66"/>
        <w:rPr>
          <w:lang w:val="en-US"/>
        </w:rPr>
      </w:pPr>
      <w:r w:rsidRPr="00D311E4">
        <w:rPr>
          <w:lang w:val="en-US"/>
        </w:rPr>
        <w:t>R2 million</w:t>
      </w:r>
    </w:p>
    <w:p w:rsidR="002701FB" w:rsidRPr="00D311E4" w:rsidRDefault="002701FB" w:rsidP="002701FB">
      <w:pPr>
        <w:pStyle w:val="ListParagraph"/>
        <w:numPr>
          <w:ilvl w:val="0"/>
          <w:numId w:val="30"/>
        </w:numPr>
        <w:rPr>
          <w:lang w:val="en-US"/>
        </w:rPr>
      </w:pPr>
      <w:r w:rsidRPr="00D311E4">
        <w:rPr>
          <w:lang w:val="en-US"/>
        </w:rPr>
        <w:t>R5 million</w:t>
      </w:r>
    </w:p>
    <w:p w:rsidR="002701FB" w:rsidRDefault="002701FB" w:rsidP="005B4EB3">
      <w:pPr>
        <w:spacing w:after="0" w:line="240" w:lineRule="auto"/>
        <w:rPr>
          <w:b/>
          <w:bCs/>
          <w:lang w:val="en-US"/>
        </w:rPr>
      </w:pPr>
      <w:r>
        <w:rPr>
          <w:b/>
          <w:bCs/>
          <w:lang w:val="en-US"/>
        </w:rPr>
        <w:br w:type="page"/>
      </w:r>
    </w:p>
    <w:p w:rsidR="002701FB" w:rsidRDefault="002701FB" w:rsidP="005B4EB3">
      <w:pPr>
        <w:pStyle w:val="Heading4"/>
        <w:rPr>
          <w:lang w:val="en-US"/>
        </w:rPr>
      </w:pPr>
    </w:p>
    <w:p w:rsidR="002701FB" w:rsidRPr="00D311E4" w:rsidRDefault="002701FB" w:rsidP="005B4EB3">
      <w:pPr>
        <w:rPr>
          <w:b/>
          <w:lang w:val="en-US"/>
        </w:rPr>
      </w:pPr>
      <w:r w:rsidRPr="00D311E4">
        <w:rPr>
          <w:b/>
          <w:lang w:val="en-US"/>
        </w:rPr>
        <w:t>The issuing of shares by a company for the attainment of assets not already listed is called</w:t>
      </w:r>
    </w:p>
    <w:p w:rsidR="002701FB" w:rsidRPr="00D311E4" w:rsidRDefault="002701FB" w:rsidP="002701FB">
      <w:pPr>
        <w:pStyle w:val="ListParagraph"/>
        <w:numPr>
          <w:ilvl w:val="0"/>
          <w:numId w:val="31"/>
        </w:numPr>
        <w:rPr>
          <w:lang w:val="en-US"/>
        </w:rPr>
      </w:pPr>
      <w:r w:rsidRPr="00D311E4">
        <w:rPr>
          <w:lang w:val="en-US"/>
        </w:rPr>
        <w:t xml:space="preserve">a </w:t>
      </w:r>
      <w:proofErr w:type="spellStart"/>
      <w:r w:rsidRPr="00D311E4">
        <w:rPr>
          <w:lang w:val="en-US"/>
        </w:rPr>
        <w:t>capitalisation</w:t>
      </w:r>
      <w:proofErr w:type="spellEnd"/>
      <w:r w:rsidRPr="00D311E4">
        <w:rPr>
          <w:lang w:val="en-US"/>
        </w:rPr>
        <w:t xml:space="preserve"> issue</w:t>
      </w:r>
    </w:p>
    <w:p w:rsidR="002701FB" w:rsidRPr="00D311E4" w:rsidRDefault="002701FB" w:rsidP="002701FB">
      <w:pPr>
        <w:pStyle w:val="ListParagraph"/>
        <w:numPr>
          <w:ilvl w:val="0"/>
          <w:numId w:val="31"/>
        </w:numPr>
        <w:rPr>
          <w:lang w:val="en-US"/>
        </w:rPr>
      </w:pPr>
      <w:r w:rsidRPr="00D311E4">
        <w:rPr>
          <w:lang w:val="en-US"/>
        </w:rPr>
        <w:t>a rights offer</w:t>
      </w:r>
    </w:p>
    <w:p w:rsidR="002701FB" w:rsidRPr="00D311E4" w:rsidRDefault="002701FB" w:rsidP="002701FB">
      <w:pPr>
        <w:pStyle w:val="ListParagraph"/>
        <w:numPr>
          <w:ilvl w:val="0"/>
          <w:numId w:val="31"/>
        </w:numPr>
        <w:rPr>
          <w:lang w:val="en-US"/>
        </w:rPr>
      </w:pPr>
      <w:r w:rsidRPr="00D311E4">
        <w:rPr>
          <w:lang w:val="en-US"/>
        </w:rPr>
        <w:t>a claw-back offer</w:t>
      </w:r>
    </w:p>
    <w:p w:rsidR="002701FB" w:rsidRPr="00D311E4" w:rsidRDefault="002701FB" w:rsidP="002701FB">
      <w:pPr>
        <w:pStyle w:val="ListParagraph"/>
        <w:numPr>
          <w:ilvl w:val="0"/>
          <w:numId w:val="31"/>
        </w:numPr>
        <w:shd w:val="clear" w:color="auto" w:fill="FFFF66"/>
      </w:pPr>
      <w:r w:rsidRPr="00D311E4">
        <w:rPr>
          <w:lang w:val="en-US"/>
        </w:rPr>
        <w:t>an acquisition issue</w:t>
      </w:r>
    </w:p>
    <w:p w:rsidR="002701FB" w:rsidRPr="008256ED" w:rsidRDefault="002701FB" w:rsidP="005B4EB3">
      <w:pPr>
        <w:pStyle w:val="Heading4"/>
      </w:pPr>
      <w:r w:rsidRPr="008256ED">
        <w:t xml:space="preserve"> </w:t>
      </w:r>
    </w:p>
    <w:p w:rsidR="002701FB" w:rsidRPr="00D311E4" w:rsidRDefault="002701FB" w:rsidP="005B4EB3">
      <w:pPr>
        <w:rPr>
          <w:b/>
        </w:rPr>
      </w:pPr>
      <w:r w:rsidRPr="00D311E4">
        <w:rPr>
          <w:b/>
        </w:rPr>
        <w:t>According to the relative valuation method, the intrinsic value of a share is derived by</w:t>
      </w:r>
    </w:p>
    <w:p w:rsidR="002701FB" w:rsidRPr="008256ED" w:rsidRDefault="002701FB" w:rsidP="002701FB">
      <w:pPr>
        <w:pStyle w:val="ListParagraph"/>
        <w:numPr>
          <w:ilvl w:val="0"/>
          <w:numId w:val="32"/>
        </w:numPr>
      </w:pPr>
      <w:r w:rsidRPr="008256ED">
        <w:t>determining the share’s co-movement with the market</w:t>
      </w:r>
    </w:p>
    <w:p w:rsidR="002701FB" w:rsidRPr="008256ED" w:rsidRDefault="002701FB" w:rsidP="002701FB">
      <w:pPr>
        <w:pStyle w:val="ListParagraph"/>
        <w:numPr>
          <w:ilvl w:val="0"/>
          <w:numId w:val="32"/>
        </w:numPr>
      </w:pPr>
      <w:r w:rsidRPr="008256ED">
        <w:t>calculating the present value of future cash flows</w:t>
      </w:r>
    </w:p>
    <w:p w:rsidR="002701FB" w:rsidRPr="008256ED" w:rsidRDefault="002701FB" w:rsidP="002701FB">
      <w:pPr>
        <w:pStyle w:val="ListParagraph"/>
        <w:numPr>
          <w:ilvl w:val="0"/>
          <w:numId w:val="32"/>
        </w:numPr>
      </w:pPr>
      <w:r w:rsidRPr="008256ED">
        <w:t>estimating the expected return and variability of return for the share</w:t>
      </w:r>
    </w:p>
    <w:p w:rsidR="002701FB" w:rsidRPr="00D311E4" w:rsidRDefault="002701FB" w:rsidP="002701FB">
      <w:pPr>
        <w:pStyle w:val="ListParagraph"/>
        <w:numPr>
          <w:ilvl w:val="0"/>
          <w:numId w:val="32"/>
        </w:numPr>
        <w:shd w:val="clear" w:color="auto" w:fill="FFFF66"/>
      </w:pPr>
      <w:r w:rsidRPr="00D311E4">
        <w:t>expressing the current price of the share as a multiple of earnings</w:t>
      </w:r>
    </w:p>
    <w:p w:rsidR="002701FB" w:rsidRPr="008256ED" w:rsidRDefault="002701FB" w:rsidP="005B4EB3">
      <w:pPr>
        <w:pStyle w:val="Heading4"/>
      </w:pPr>
    </w:p>
    <w:p w:rsidR="002701FB" w:rsidRPr="00D311E4" w:rsidRDefault="002701FB" w:rsidP="005B4EB3">
      <w:pPr>
        <w:rPr>
          <w:b/>
        </w:rPr>
      </w:pPr>
      <w:r w:rsidRPr="00D311E4">
        <w:rPr>
          <w:b/>
        </w:rPr>
        <w:t>Calculate the estimated price of a share</w:t>
      </w:r>
      <w:r>
        <w:rPr>
          <w:b/>
        </w:rPr>
        <w:t>,</w:t>
      </w:r>
      <w:r w:rsidRPr="00D311E4">
        <w:rPr>
          <w:b/>
        </w:rPr>
        <w:t xml:space="preserve"> using relative valuation</w:t>
      </w:r>
      <w:r>
        <w:rPr>
          <w:b/>
        </w:rPr>
        <w:t>,</w:t>
      </w:r>
      <w:r w:rsidRPr="00D311E4">
        <w:rPr>
          <w:b/>
        </w:rPr>
        <w:t xml:space="preserve"> given the following:</w:t>
      </w:r>
    </w:p>
    <w:p w:rsidR="002701FB" w:rsidRPr="008256ED" w:rsidRDefault="002701FB" w:rsidP="002701FB">
      <w:pPr>
        <w:pStyle w:val="ListParagraph"/>
        <w:numPr>
          <w:ilvl w:val="0"/>
          <w:numId w:val="5"/>
        </w:numPr>
        <w:spacing w:before="120" w:after="120" w:line="276" w:lineRule="auto"/>
        <w:contextualSpacing w:val="0"/>
        <w:jc w:val="both"/>
      </w:pPr>
      <w:r w:rsidRPr="008256ED">
        <w:t>Expected earnings per share = R5,50</w:t>
      </w:r>
    </w:p>
    <w:p w:rsidR="002701FB" w:rsidRPr="008256ED" w:rsidRDefault="002701FB" w:rsidP="002701FB">
      <w:pPr>
        <w:pStyle w:val="ListParagraph"/>
        <w:numPr>
          <w:ilvl w:val="0"/>
          <w:numId w:val="5"/>
        </w:numPr>
        <w:spacing w:before="120" w:after="120" w:line="276" w:lineRule="auto"/>
        <w:contextualSpacing w:val="0"/>
        <w:jc w:val="both"/>
      </w:pPr>
      <w:r w:rsidRPr="008256ED">
        <w:t>Expected book value per share = R45,50</w:t>
      </w:r>
    </w:p>
    <w:p w:rsidR="002701FB" w:rsidRPr="008256ED" w:rsidRDefault="002701FB" w:rsidP="002701FB">
      <w:pPr>
        <w:pStyle w:val="ListParagraph"/>
        <w:numPr>
          <w:ilvl w:val="0"/>
          <w:numId w:val="5"/>
        </w:numPr>
        <w:spacing w:before="120" w:after="120" w:line="276" w:lineRule="auto"/>
        <w:contextualSpacing w:val="0"/>
        <w:jc w:val="both"/>
      </w:pPr>
      <w:r w:rsidRPr="008256ED">
        <w:t>Price/earnings (PE) ratio = 7</w:t>
      </w:r>
    </w:p>
    <w:p w:rsidR="002701FB" w:rsidRPr="008256ED" w:rsidRDefault="002701FB" w:rsidP="002701FB">
      <w:pPr>
        <w:pStyle w:val="ListParagraph"/>
        <w:numPr>
          <w:ilvl w:val="0"/>
          <w:numId w:val="33"/>
        </w:numPr>
      </w:pPr>
      <w:r w:rsidRPr="008256ED">
        <w:t>R6,50</w:t>
      </w:r>
    </w:p>
    <w:p w:rsidR="002701FB" w:rsidRPr="00D311E4" w:rsidRDefault="002701FB" w:rsidP="002701FB">
      <w:pPr>
        <w:pStyle w:val="ListParagraph"/>
        <w:numPr>
          <w:ilvl w:val="0"/>
          <w:numId w:val="33"/>
        </w:numPr>
        <w:shd w:val="clear" w:color="auto" w:fill="FFFF66"/>
      </w:pPr>
      <w:r w:rsidRPr="00D311E4">
        <w:t>R38,50</w:t>
      </w:r>
    </w:p>
    <w:p w:rsidR="002701FB" w:rsidRPr="008256ED" w:rsidRDefault="002701FB" w:rsidP="002701FB">
      <w:pPr>
        <w:pStyle w:val="ListParagraph"/>
        <w:numPr>
          <w:ilvl w:val="0"/>
          <w:numId w:val="33"/>
        </w:numPr>
      </w:pPr>
      <w:r w:rsidRPr="008256ED">
        <w:t>R45,50</w:t>
      </w:r>
    </w:p>
    <w:p w:rsidR="002701FB" w:rsidRPr="008256ED" w:rsidRDefault="002701FB" w:rsidP="002701FB">
      <w:pPr>
        <w:pStyle w:val="ListParagraph"/>
        <w:numPr>
          <w:ilvl w:val="0"/>
          <w:numId w:val="33"/>
        </w:numPr>
      </w:pPr>
      <w:r w:rsidRPr="008256ED">
        <w:t>R55,48</w:t>
      </w:r>
    </w:p>
    <w:p w:rsidR="002701FB" w:rsidRPr="008256ED" w:rsidRDefault="002701FB" w:rsidP="005B4EB3">
      <w:pPr>
        <w:pStyle w:val="Heading4"/>
      </w:pPr>
    </w:p>
    <w:p w:rsidR="002701FB" w:rsidRPr="00D311E4" w:rsidRDefault="002701FB" w:rsidP="005B4EB3">
      <w:pPr>
        <w:rPr>
          <w:b/>
        </w:rPr>
      </w:pPr>
      <w:r w:rsidRPr="00D311E4">
        <w:rPr>
          <w:b/>
        </w:rPr>
        <w:t>Which ONE of the following is a limitation of the single-stage Gordon growth model?</w:t>
      </w:r>
    </w:p>
    <w:p w:rsidR="002701FB" w:rsidRPr="00D311E4" w:rsidRDefault="002701FB" w:rsidP="002701FB">
      <w:pPr>
        <w:pStyle w:val="ListParagraph"/>
        <w:numPr>
          <w:ilvl w:val="0"/>
          <w:numId w:val="34"/>
        </w:numPr>
        <w:shd w:val="clear" w:color="auto" w:fill="FFFF66"/>
      </w:pPr>
      <w:r w:rsidRPr="00D311E4">
        <w:t>Its sensitivity to growth rate input</w:t>
      </w:r>
    </w:p>
    <w:p w:rsidR="002701FB" w:rsidRPr="008256ED" w:rsidRDefault="002701FB" w:rsidP="002701FB">
      <w:pPr>
        <w:pStyle w:val="ListParagraph"/>
        <w:numPr>
          <w:ilvl w:val="0"/>
          <w:numId w:val="34"/>
        </w:numPr>
      </w:pPr>
      <w:r w:rsidRPr="008256ED">
        <w:t>Not defined when rate of return reaches infinity</w:t>
      </w:r>
    </w:p>
    <w:p w:rsidR="002701FB" w:rsidRPr="008256ED" w:rsidRDefault="002701FB" w:rsidP="002701FB">
      <w:pPr>
        <w:pStyle w:val="ListParagraph"/>
        <w:numPr>
          <w:ilvl w:val="0"/>
          <w:numId w:val="34"/>
        </w:numPr>
      </w:pPr>
      <w:r w:rsidRPr="008256ED">
        <w:t>Its unrealistic inflation assumptions</w:t>
      </w:r>
    </w:p>
    <w:p w:rsidR="002701FB" w:rsidRPr="008256ED" w:rsidRDefault="002701FB" w:rsidP="002701FB">
      <w:pPr>
        <w:pStyle w:val="ListParagraph"/>
        <w:numPr>
          <w:ilvl w:val="0"/>
          <w:numId w:val="34"/>
        </w:numPr>
      </w:pPr>
      <w:r w:rsidRPr="008256ED">
        <w:t>Difficult to use in practice</w:t>
      </w:r>
    </w:p>
    <w:p w:rsidR="002701FB" w:rsidRDefault="002701FB" w:rsidP="005B4EB3">
      <w:pPr>
        <w:spacing w:after="0" w:line="240" w:lineRule="auto"/>
        <w:rPr>
          <w:b/>
          <w:bCs/>
          <w:smallCaps/>
        </w:rPr>
      </w:pPr>
      <w:r>
        <w:br w:type="page"/>
      </w:r>
    </w:p>
    <w:p w:rsidR="002701FB" w:rsidRPr="002061BC" w:rsidRDefault="002701FB" w:rsidP="005B4EB3">
      <w:pPr>
        <w:pStyle w:val="Heading3"/>
      </w:pPr>
      <w:bookmarkStart w:id="10" w:name="AC12WQ"/>
      <w:r w:rsidRPr="002061BC">
        <w:lastRenderedPageBreak/>
        <w:t xml:space="preserve">  </w:t>
      </w:r>
      <w:bookmarkStart w:id="11" w:name="_Toc320540598"/>
      <w:r w:rsidRPr="002061BC">
        <w:t>Written questions</w:t>
      </w:r>
      <w:bookmarkEnd w:id="11"/>
    </w:p>
    <w:bookmarkEnd w:id="10"/>
    <w:p w:rsidR="002701FB" w:rsidRPr="00292B10" w:rsidRDefault="002701FB" w:rsidP="005B4EB3">
      <w:pPr>
        <w:ind w:right="-897"/>
        <w:jc w:val="right"/>
        <w:rPr>
          <w:rStyle w:val="Hyperlink"/>
          <w:sz w:val="20"/>
        </w:rPr>
      </w:pPr>
      <w:r>
        <w:rPr>
          <w:sz w:val="20"/>
        </w:rPr>
        <w:fldChar w:fldCharType="begin"/>
      </w:r>
      <w:r>
        <w:rPr>
          <w:sz w:val="20"/>
        </w:rPr>
        <w:instrText xml:space="preserve"> HYPERLINK  \l "C12WQ" </w:instrText>
      </w:r>
      <w:r>
        <w:rPr>
          <w:sz w:val="20"/>
        </w:rPr>
        <w:fldChar w:fldCharType="separate"/>
      </w:r>
      <w:r w:rsidRPr="00292B10">
        <w:rPr>
          <w:rStyle w:val="Hyperlink"/>
          <w:sz w:val="20"/>
        </w:rPr>
        <w:t xml:space="preserve">Go back </w:t>
      </w:r>
      <w:proofErr w:type="gramStart"/>
      <w:r w:rsidRPr="00292B10">
        <w:rPr>
          <w:rStyle w:val="Hyperlink"/>
          <w:sz w:val="20"/>
        </w:rPr>
        <w:t xml:space="preserve">to  </w:t>
      </w:r>
      <w:proofErr w:type="gramEnd"/>
      <w:r>
        <w:rPr>
          <w:rStyle w:val="Hyperlink"/>
          <w:sz w:val="20"/>
        </w:rPr>
        <w:sym w:font="Wingdings" w:char="F0EF"/>
      </w:r>
      <w:r w:rsidRPr="00292B10">
        <w:rPr>
          <w:rStyle w:val="Hyperlink"/>
          <w:sz w:val="20"/>
        </w:rPr>
        <w:t xml:space="preserve">Written questions </w:t>
      </w:r>
    </w:p>
    <w:p w:rsidR="002701FB" w:rsidRPr="002061BC" w:rsidRDefault="002701FB" w:rsidP="005B4EB3">
      <w:pPr>
        <w:rPr>
          <w:i/>
        </w:rPr>
      </w:pPr>
      <w:r>
        <w:rPr>
          <w:sz w:val="20"/>
        </w:rPr>
        <w:fldChar w:fldCharType="end"/>
      </w:r>
      <w:r w:rsidRPr="002061BC">
        <w:rPr>
          <w:i/>
        </w:rPr>
        <w:t>Answer the following questions.</w:t>
      </w:r>
      <w:r w:rsidRPr="002061BC">
        <w:rPr>
          <w:i/>
        </w:rPr>
        <w:tab/>
      </w:r>
    </w:p>
    <w:p w:rsidR="002701FB" w:rsidRPr="008256ED" w:rsidRDefault="002701FB" w:rsidP="002701FB">
      <w:pPr>
        <w:pStyle w:val="Heading4"/>
        <w:numPr>
          <w:ilvl w:val="0"/>
          <w:numId w:val="35"/>
        </w:numPr>
      </w:pPr>
    </w:p>
    <w:p w:rsidR="002701FB" w:rsidRPr="008256ED" w:rsidRDefault="002701FB" w:rsidP="005B4EB3">
      <w:pPr>
        <w:rPr>
          <w:b/>
        </w:rPr>
      </w:pPr>
      <w:r w:rsidRPr="008256ED">
        <w:rPr>
          <w:b/>
        </w:rPr>
        <w:t>The pre-emptive rights of shareholders are a characteristic of ordinary shares. Explain this concept by way of an example.</w:t>
      </w:r>
    </w:p>
    <w:p w:rsidR="002701FB" w:rsidRPr="00D311E4" w:rsidRDefault="002701FB" w:rsidP="005B4EB3">
      <w:pPr>
        <w:spacing w:before="240"/>
        <w:ind w:left="720"/>
        <w:rPr>
          <w:b/>
          <w:color w:val="FF0000"/>
        </w:rPr>
      </w:pPr>
      <w:r w:rsidRPr="00D311E4">
        <w:rPr>
          <w:b/>
          <w:color w:val="FF0000"/>
        </w:rPr>
        <w:t xml:space="preserve">Shareholders have the first option to buy new shares in proportion to their existing shareholding, thus their voting rights and claim to earnings cannot be diluted without their consent. For example, Rex Ltd owns 10 per cent or 100 of the 1000 shares of Jurassic Ltd. If Jurassic Ltd decides to issue an additional 100 shares, Rex Ltd has the right to purchase 10 per cent or 10 of the new shares issued to maintain its 10 per cent interest in Jurassic Ltd. </w:t>
      </w:r>
    </w:p>
    <w:p w:rsidR="002701FB" w:rsidRPr="008256ED" w:rsidRDefault="002701FB" w:rsidP="005B4EB3">
      <w:pPr>
        <w:pStyle w:val="Heading4"/>
      </w:pPr>
    </w:p>
    <w:p w:rsidR="002701FB" w:rsidRPr="008256ED" w:rsidRDefault="002701FB" w:rsidP="005B4EB3">
      <w:pPr>
        <w:rPr>
          <w:b/>
        </w:rPr>
      </w:pPr>
      <w:r w:rsidRPr="008256ED">
        <w:rPr>
          <w:b/>
        </w:rPr>
        <w:t>New Bank issued 10 000 preference shares at a par value of R25 each and a dividend of 80 per cent of the prime rate. The current share price of New Bank is R28</w:t>
      </w:r>
      <w:proofErr w:type="gramStart"/>
      <w:r w:rsidRPr="008256ED">
        <w:rPr>
          <w:b/>
        </w:rPr>
        <w:t>,50</w:t>
      </w:r>
      <w:proofErr w:type="gramEnd"/>
      <w:r w:rsidRPr="008256ED">
        <w:rPr>
          <w:b/>
        </w:rPr>
        <w:t xml:space="preserve"> and the prime rate is 11 per cent. Calculate the total preference dividend pay-out for the year.</w:t>
      </w:r>
    </w:p>
    <w:p w:rsidR="002701FB" w:rsidRPr="00D311E4" w:rsidRDefault="002701FB" w:rsidP="005B4EB3">
      <w:pPr>
        <w:ind w:left="720"/>
        <w:rPr>
          <w:b/>
          <w:color w:val="FF0000"/>
        </w:rPr>
      </w:pPr>
      <w:r w:rsidRPr="00D311E4">
        <w:rPr>
          <w:b/>
          <w:color w:val="FF0000"/>
        </w:rPr>
        <w:t>10 000 × R25 × 0</w:t>
      </w:r>
      <w:proofErr w:type="gramStart"/>
      <w:r w:rsidRPr="00D311E4">
        <w:rPr>
          <w:b/>
          <w:color w:val="FF0000"/>
        </w:rPr>
        <w:t>,8</w:t>
      </w:r>
      <w:proofErr w:type="gramEnd"/>
      <w:r w:rsidRPr="00D311E4">
        <w:rPr>
          <w:b/>
          <w:color w:val="FF0000"/>
        </w:rPr>
        <w:t xml:space="preserve"> × 0,11 = R22 000</w:t>
      </w:r>
    </w:p>
    <w:p w:rsidR="002701FB" w:rsidRPr="008256ED" w:rsidRDefault="002701FB" w:rsidP="005B4EB3">
      <w:pPr>
        <w:pStyle w:val="Heading4"/>
      </w:pPr>
    </w:p>
    <w:p w:rsidR="002701FB" w:rsidRPr="008256ED" w:rsidRDefault="002701FB" w:rsidP="005B4EB3">
      <w:pPr>
        <w:rPr>
          <w:b/>
        </w:rPr>
      </w:pPr>
      <w:r w:rsidRPr="008256ED">
        <w:rPr>
          <w:b/>
        </w:rPr>
        <w:t>Discuss the characteristics of private equity.</w:t>
      </w:r>
    </w:p>
    <w:p w:rsidR="002701FB" w:rsidRPr="00D311E4" w:rsidRDefault="002701FB" w:rsidP="002701FB">
      <w:pPr>
        <w:pStyle w:val="ListParagraph"/>
        <w:numPr>
          <w:ilvl w:val="0"/>
          <w:numId w:val="22"/>
        </w:numPr>
        <w:spacing w:after="120" w:line="276" w:lineRule="auto"/>
        <w:contextualSpacing w:val="0"/>
        <w:jc w:val="both"/>
        <w:rPr>
          <w:b/>
          <w:color w:val="FF0000"/>
          <w:lang w:eastAsia="en-GB"/>
        </w:rPr>
      </w:pPr>
      <w:r w:rsidRPr="00D311E4">
        <w:rPr>
          <w:b/>
          <w:color w:val="FF0000"/>
          <w:lang w:eastAsia="en-GB"/>
        </w:rPr>
        <w:t>Private equity is privately held as opposed to publicly traded.</w:t>
      </w:r>
    </w:p>
    <w:p w:rsidR="002701FB" w:rsidRPr="00D311E4" w:rsidRDefault="002701FB" w:rsidP="002701FB">
      <w:pPr>
        <w:pStyle w:val="ListParagraph"/>
        <w:numPr>
          <w:ilvl w:val="0"/>
          <w:numId w:val="22"/>
        </w:numPr>
        <w:spacing w:after="120" w:line="276" w:lineRule="auto"/>
        <w:contextualSpacing w:val="0"/>
        <w:jc w:val="both"/>
        <w:rPr>
          <w:b/>
          <w:color w:val="FF0000"/>
          <w:lang w:eastAsia="en-GB"/>
        </w:rPr>
      </w:pPr>
      <w:r w:rsidRPr="00D311E4">
        <w:rPr>
          <w:b/>
          <w:color w:val="FF0000"/>
          <w:lang w:eastAsia="en-GB"/>
        </w:rPr>
        <w:t>Private equity investment entails active involvement in identifying the investment, negotiating and structuring the transaction, and monitoring the company once the investment is made. This often requires an investor to serve as a board member of the company.</w:t>
      </w:r>
    </w:p>
    <w:p w:rsidR="002701FB" w:rsidRPr="00D311E4" w:rsidRDefault="002701FB" w:rsidP="002701FB">
      <w:pPr>
        <w:pStyle w:val="ListParagraph"/>
        <w:numPr>
          <w:ilvl w:val="0"/>
          <w:numId w:val="22"/>
        </w:numPr>
        <w:spacing w:after="120" w:line="276" w:lineRule="auto"/>
        <w:contextualSpacing w:val="0"/>
        <w:jc w:val="both"/>
        <w:rPr>
          <w:b/>
          <w:color w:val="FF0000"/>
          <w:lang w:eastAsia="en-GB"/>
        </w:rPr>
      </w:pPr>
      <w:r w:rsidRPr="00D311E4">
        <w:rPr>
          <w:b/>
          <w:color w:val="FF0000"/>
          <w:lang w:eastAsia="en-GB"/>
        </w:rPr>
        <w:t>Private equity investments are not intended to be held indefinitely. Generally, alternative exit strategies are evaluated at the time the initial investment in the company is made. One such strategy would be to list the company on a stock exchange and sell the shares to the public.</w:t>
      </w:r>
    </w:p>
    <w:p w:rsidR="002701FB" w:rsidRPr="00D311E4" w:rsidRDefault="002701FB" w:rsidP="002701FB">
      <w:pPr>
        <w:pStyle w:val="ListParagraph"/>
        <w:numPr>
          <w:ilvl w:val="0"/>
          <w:numId w:val="22"/>
        </w:numPr>
        <w:spacing w:after="120" w:line="276" w:lineRule="auto"/>
        <w:contextualSpacing w:val="0"/>
        <w:jc w:val="both"/>
        <w:rPr>
          <w:b/>
          <w:color w:val="FF0000"/>
          <w:lang w:val="en-GB"/>
        </w:rPr>
      </w:pPr>
      <w:r w:rsidRPr="00D311E4">
        <w:rPr>
          <w:b/>
          <w:color w:val="FF0000"/>
          <w:lang w:eastAsia="en-GB"/>
        </w:rPr>
        <w:t>Private equity investments are high risk and high reward. Private equity investors seek a high return on their capital when the company prospers as they risk losing most, if not all, of their investment if the company fails.</w:t>
      </w:r>
    </w:p>
    <w:p w:rsidR="002701FB" w:rsidRDefault="002701FB">
      <w:pPr>
        <w:spacing w:after="0" w:line="240" w:lineRule="auto"/>
        <w:rPr>
          <w:b/>
          <w:bCs/>
        </w:rPr>
      </w:pPr>
      <w:r>
        <w:br w:type="page"/>
      </w:r>
    </w:p>
    <w:p w:rsidR="002701FB" w:rsidRPr="008256ED" w:rsidRDefault="002701FB" w:rsidP="005B4EB3">
      <w:pPr>
        <w:pStyle w:val="Heading4"/>
      </w:pPr>
    </w:p>
    <w:p w:rsidR="002701FB" w:rsidRPr="008256ED" w:rsidRDefault="002701FB" w:rsidP="005B4EB3">
      <w:pPr>
        <w:rPr>
          <w:b/>
        </w:rPr>
      </w:pPr>
      <w:r w:rsidRPr="008256ED">
        <w:rPr>
          <w:b/>
        </w:rPr>
        <w:t>Define depository receipts, and discuss the advantages of issuing them.</w:t>
      </w:r>
    </w:p>
    <w:p w:rsidR="002701FB" w:rsidRPr="00D311E4" w:rsidRDefault="002701FB" w:rsidP="005B4EB3">
      <w:pPr>
        <w:ind w:left="720"/>
        <w:rPr>
          <w:b/>
          <w:color w:val="FF0000"/>
        </w:rPr>
      </w:pPr>
      <w:r w:rsidRPr="00D311E4">
        <w:rPr>
          <w:b/>
          <w:color w:val="FF0000"/>
        </w:rPr>
        <w:t xml:space="preserve">Depository receipts are certiﬁcates representing ownership in the ordinary shares of a company but that are traded and marketed outside of the company’s home country (i.e. in a host country). Depository receipts are quoted in the host country’s currency and treated in the same way as host country shares for trading, clearance, settlement, </w:t>
      </w:r>
      <w:proofErr w:type="gramStart"/>
      <w:r w:rsidRPr="00D311E4">
        <w:rPr>
          <w:b/>
          <w:color w:val="FF0000"/>
        </w:rPr>
        <w:t>transfer</w:t>
      </w:r>
      <w:proofErr w:type="gramEnd"/>
      <w:r w:rsidRPr="00D311E4">
        <w:rPr>
          <w:b/>
          <w:color w:val="FF0000"/>
        </w:rPr>
        <w:t xml:space="preserve"> and ownership purposes. </w:t>
      </w:r>
    </w:p>
    <w:p w:rsidR="002701FB" w:rsidRPr="00D311E4" w:rsidRDefault="002701FB" w:rsidP="005B4EB3">
      <w:pPr>
        <w:ind w:left="720"/>
        <w:rPr>
          <w:b/>
          <w:color w:val="FF0000"/>
        </w:rPr>
      </w:pPr>
      <w:r w:rsidRPr="00D311E4">
        <w:rPr>
          <w:b/>
          <w:color w:val="FF0000"/>
        </w:rPr>
        <w:t>Depository receipts increase the company’s visibility in markets outside its home country, and allow the company access to capital in other countries.</w:t>
      </w:r>
    </w:p>
    <w:p w:rsidR="002701FB" w:rsidRPr="008256ED" w:rsidRDefault="002701FB" w:rsidP="005B4EB3">
      <w:pPr>
        <w:pStyle w:val="Heading4"/>
      </w:pPr>
      <w:r w:rsidRPr="008256ED">
        <w:t xml:space="preserve"> </w:t>
      </w:r>
    </w:p>
    <w:p w:rsidR="002701FB" w:rsidRPr="008256ED" w:rsidRDefault="00E95003" w:rsidP="005B4EB3">
      <w:pPr>
        <w:rPr>
          <w:b/>
        </w:rPr>
      </w:pPr>
      <w:r>
        <w:rPr>
          <w:b/>
        </w:rPr>
        <w:t xml:space="preserve">List the </w:t>
      </w:r>
      <w:r w:rsidR="002701FB" w:rsidRPr="008256ED">
        <w:rPr>
          <w:b/>
        </w:rPr>
        <w:t>JSE boards on which new share issues can currently be issued.</w:t>
      </w:r>
    </w:p>
    <w:p w:rsidR="002701FB" w:rsidRDefault="002701FB" w:rsidP="002701FB">
      <w:pPr>
        <w:pStyle w:val="ListParagraph"/>
        <w:numPr>
          <w:ilvl w:val="0"/>
          <w:numId w:val="6"/>
        </w:numPr>
        <w:spacing w:after="120" w:line="276" w:lineRule="auto"/>
        <w:contextualSpacing w:val="0"/>
        <w:jc w:val="both"/>
        <w:rPr>
          <w:b/>
          <w:color w:val="FF0000"/>
        </w:rPr>
      </w:pPr>
      <w:r w:rsidRPr="00D311E4">
        <w:rPr>
          <w:b/>
          <w:color w:val="FF0000"/>
        </w:rPr>
        <w:t>The main board, which includes the Africa Board</w:t>
      </w:r>
    </w:p>
    <w:p w:rsidR="00E95003" w:rsidRPr="00A76BDD" w:rsidRDefault="00E95003" w:rsidP="002701FB">
      <w:pPr>
        <w:pStyle w:val="ListParagraph"/>
        <w:numPr>
          <w:ilvl w:val="0"/>
          <w:numId w:val="6"/>
        </w:numPr>
        <w:spacing w:after="120" w:line="276" w:lineRule="auto"/>
        <w:contextualSpacing w:val="0"/>
        <w:jc w:val="both"/>
        <w:rPr>
          <w:b/>
          <w:color w:val="FF0000"/>
        </w:rPr>
      </w:pPr>
      <w:r w:rsidRPr="00A76BDD">
        <w:rPr>
          <w:b/>
          <w:color w:val="FF0000"/>
        </w:rPr>
        <w:t>The Venture Capital Market (VCM)</w:t>
      </w:r>
    </w:p>
    <w:p w:rsidR="00E95003" w:rsidRPr="00A76BDD" w:rsidRDefault="00E95003" w:rsidP="002701FB">
      <w:pPr>
        <w:pStyle w:val="ListParagraph"/>
        <w:numPr>
          <w:ilvl w:val="0"/>
          <w:numId w:val="6"/>
        </w:numPr>
        <w:spacing w:after="120" w:line="276" w:lineRule="auto"/>
        <w:contextualSpacing w:val="0"/>
        <w:jc w:val="both"/>
        <w:rPr>
          <w:b/>
          <w:color w:val="FF0000"/>
        </w:rPr>
      </w:pPr>
      <w:r w:rsidRPr="00A76BDD">
        <w:rPr>
          <w:b/>
          <w:color w:val="FF0000"/>
        </w:rPr>
        <w:t>The Development Capital Market (DCM(</w:t>
      </w:r>
    </w:p>
    <w:p w:rsidR="002701FB" w:rsidRPr="00A76BDD" w:rsidRDefault="002701FB" w:rsidP="002701FB">
      <w:pPr>
        <w:pStyle w:val="ListParagraph"/>
        <w:numPr>
          <w:ilvl w:val="0"/>
          <w:numId w:val="6"/>
        </w:numPr>
        <w:spacing w:after="120" w:line="276" w:lineRule="auto"/>
        <w:contextualSpacing w:val="0"/>
        <w:jc w:val="both"/>
        <w:rPr>
          <w:b/>
          <w:color w:val="FF0000"/>
        </w:rPr>
      </w:pPr>
      <w:proofErr w:type="spellStart"/>
      <w:r w:rsidRPr="00A76BDD">
        <w:rPr>
          <w:b/>
          <w:color w:val="FF0000"/>
        </w:rPr>
        <w:t>Alt</w:t>
      </w:r>
      <w:r w:rsidRPr="00A76BDD">
        <w:rPr>
          <w:b/>
          <w:color w:val="FF0000"/>
          <w:vertAlign w:val="superscript"/>
        </w:rPr>
        <w:t>X</w:t>
      </w:r>
      <w:proofErr w:type="spellEnd"/>
      <w:r w:rsidRPr="00A76BDD">
        <w:rPr>
          <w:b/>
          <w:color w:val="FF0000"/>
        </w:rPr>
        <w:t xml:space="preserve"> </w:t>
      </w:r>
    </w:p>
    <w:p w:rsidR="002701FB" w:rsidRPr="008256ED" w:rsidRDefault="002701FB" w:rsidP="005B4EB3">
      <w:pPr>
        <w:pStyle w:val="Heading4"/>
      </w:pPr>
      <w:r w:rsidRPr="008256ED">
        <w:t xml:space="preserve"> </w:t>
      </w:r>
    </w:p>
    <w:p w:rsidR="002701FB" w:rsidRPr="008256ED" w:rsidRDefault="002701FB" w:rsidP="005B4EB3">
      <w:pPr>
        <w:rPr>
          <w:b/>
        </w:rPr>
      </w:pPr>
      <w:r w:rsidRPr="008256ED">
        <w:rPr>
          <w:b/>
        </w:rPr>
        <w:t>Given the following published share information for T-Max, how long would it take an investor to earn the equivalent of the total value of the current share price if earnings remain unchanged?</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28" w:type="dxa"/>
          <w:bottom w:w="28" w:type="dxa"/>
        </w:tblCellMar>
        <w:tblLook w:val="00A0" w:firstRow="1" w:lastRow="0" w:firstColumn="1" w:lastColumn="0" w:noHBand="0" w:noVBand="0"/>
      </w:tblPr>
      <w:tblGrid>
        <w:gridCol w:w="1008"/>
        <w:gridCol w:w="786"/>
        <w:gridCol w:w="786"/>
        <w:gridCol w:w="686"/>
        <w:gridCol w:w="773"/>
        <w:gridCol w:w="671"/>
        <w:gridCol w:w="868"/>
        <w:gridCol w:w="775"/>
        <w:gridCol w:w="775"/>
        <w:gridCol w:w="925"/>
        <w:gridCol w:w="573"/>
        <w:gridCol w:w="616"/>
      </w:tblGrid>
      <w:tr w:rsidR="002701FB" w:rsidRPr="008256ED" w:rsidTr="005B4EB3">
        <w:tc>
          <w:tcPr>
            <w:tcW w:w="0" w:type="auto"/>
            <w:tcBorders>
              <w:top w:val="single" w:sz="18" w:space="0" w:color="000000"/>
              <w:left w:val="single" w:sz="18" w:space="0" w:color="000000"/>
              <w:bottom w:val="single" w:sz="6" w:space="0" w:color="000000"/>
              <w:right w:val="single" w:sz="6" w:space="0" w:color="000000"/>
            </w:tcBorders>
            <w:tcMar>
              <w:top w:w="28" w:type="dxa"/>
              <w:bottom w:w="28" w:type="dxa"/>
            </w:tcMar>
            <w:vAlign w:val="center"/>
          </w:tcPr>
          <w:p w:rsidR="002701FB" w:rsidRPr="008256ED" w:rsidRDefault="002701FB" w:rsidP="005B4EB3">
            <w:pPr>
              <w:spacing w:after="0" w:line="240" w:lineRule="auto"/>
              <w:jc w:val="center"/>
              <w:rPr>
                <w:b/>
              </w:rPr>
            </w:pPr>
            <w:r w:rsidRPr="008256ED">
              <w:rPr>
                <w:b/>
              </w:rPr>
              <w:t>Company</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5B4EB3">
            <w:pPr>
              <w:spacing w:after="0" w:line="240" w:lineRule="auto"/>
              <w:jc w:val="center"/>
              <w:rPr>
                <w:b/>
              </w:rPr>
            </w:pPr>
            <w:r w:rsidRPr="008256ED">
              <w:rPr>
                <w:b/>
              </w:rPr>
              <w:t>Close</w:t>
            </w:r>
          </w:p>
          <w:p w:rsidR="002701FB" w:rsidRPr="008256ED" w:rsidRDefault="002701FB" w:rsidP="005B4EB3">
            <w:pPr>
              <w:spacing w:after="0" w:line="240" w:lineRule="auto"/>
              <w:jc w:val="center"/>
              <w:rPr>
                <w:b/>
              </w:rPr>
            </w:pPr>
            <w:r w:rsidRPr="008256ED">
              <w:rPr>
                <w:b/>
              </w:rPr>
              <w:t>(cents)</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5B4EB3">
            <w:pPr>
              <w:spacing w:after="0" w:line="240" w:lineRule="auto"/>
              <w:jc w:val="center"/>
              <w:rPr>
                <w:b/>
              </w:rPr>
            </w:pPr>
            <w:r w:rsidRPr="008256ED">
              <w:rPr>
                <w:b/>
              </w:rPr>
              <w:t>Day move (cents)</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5B4EB3">
            <w:pPr>
              <w:spacing w:after="0" w:line="240" w:lineRule="auto"/>
              <w:jc w:val="center"/>
              <w:rPr>
                <w:b/>
              </w:rPr>
            </w:pPr>
            <w:r w:rsidRPr="008256ED">
              <w:rPr>
                <w:b/>
              </w:rPr>
              <w:t>Day move</w:t>
            </w:r>
          </w:p>
          <w:p w:rsidR="002701FB" w:rsidRPr="008256ED" w:rsidRDefault="002701FB" w:rsidP="005B4EB3">
            <w:pPr>
              <w:spacing w:after="0" w:line="240" w:lineRule="auto"/>
              <w:jc w:val="center"/>
              <w:rPr>
                <w:b/>
              </w:rPr>
            </w:pPr>
            <w:r w:rsidRPr="008256ED">
              <w:rPr>
                <w:b/>
              </w:rPr>
              <w:t>(%)</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5B4EB3">
            <w:pPr>
              <w:spacing w:after="0" w:line="240" w:lineRule="auto"/>
              <w:jc w:val="center"/>
              <w:rPr>
                <w:b/>
              </w:rPr>
            </w:pPr>
            <w:r w:rsidRPr="008256ED">
              <w:rPr>
                <w:b/>
              </w:rPr>
              <w:t>High</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5B4EB3">
            <w:pPr>
              <w:spacing w:after="0" w:line="240" w:lineRule="auto"/>
              <w:jc w:val="center"/>
              <w:rPr>
                <w:b/>
              </w:rPr>
            </w:pPr>
            <w:r w:rsidRPr="008256ED">
              <w:rPr>
                <w:b/>
              </w:rPr>
              <w:t>Low</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5B4EB3">
            <w:pPr>
              <w:spacing w:after="0" w:line="240" w:lineRule="auto"/>
              <w:jc w:val="center"/>
              <w:rPr>
                <w:b/>
              </w:rPr>
            </w:pPr>
            <w:r w:rsidRPr="008256ED">
              <w:rPr>
                <w:b/>
              </w:rPr>
              <w:t>Volume traded</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5B4EB3">
            <w:pPr>
              <w:spacing w:after="0" w:line="240" w:lineRule="auto"/>
              <w:jc w:val="center"/>
              <w:rPr>
                <w:b/>
              </w:rPr>
            </w:pPr>
            <w:r w:rsidRPr="008256ED">
              <w:rPr>
                <w:b/>
              </w:rPr>
              <w:t>12-month</w:t>
            </w:r>
          </w:p>
          <w:p w:rsidR="002701FB" w:rsidRPr="008256ED" w:rsidRDefault="002701FB" w:rsidP="005B4EB3">
            <w:pPr>
              <w:spacing w:after="0" w:line="240" w:lineRule="auto"/>
              <w:jc w:val="center"/>
              <w:rPr>
                <w:b/>
              </w:rPr>
            </w:pPr>
            <w:r w:rsidRPr="008256ED">
              <w:rPr>
                <w:b/>
              </w:rPr>
              <w:t>high</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5B4EB3">
            <w:pPr>
              <w:spacing w:after="0" w:line="240" w:lineRule="auto"/>
              <w:jc w:val="center"/>
              <w:rPr>
                <w:b/>
              </w:rPr>
            </w:pPr>
            <w:r w:rsidRPr="008256ED">
              <w:rPr>
                <w:b/>
              </w:rPr>
              <w:t>12-month</w:t>
            </w:r>
          </w:p>
          <w:p w:rsidR="002701FB" w:rsidRPr="008256ED" w:rsidRDefault="002701FB" w:rsidP="005B4EB3">
            <w:pPr>
              <w:spacing w:after="0" w:line="240" w:lineRule="auto"/>
              <w:jc w:val="center"/>
              <w:rPr>
                <w:b/>
              </w:rPr>
            </w:pPr>
            <w:r w:rsidRPr="008256ED">
              <w:rPr>
                <w:b/>
              </w:rPr>
              <w:t>low</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5B4EB3">
            <w:pPr>
              <w:spacing w:after="0" w:line="240" w:lineRule="auto"/>
              <w:jc w:val="center"/>
              <w:rPr>
                <w:b/>
              </w:rPr>
            </w:pPr>
            <w:r w:rsidRPr="008256ED">
              <w:rPr>
                <w:b/>
              </w:rPr>
              <w:t>Market cap</w:t>
            </w:r>
          </w:p>
          <w:p w:rsidR="002701FB" w:rsidRPr="008256ED" w:rsidRDefault="002701FB" w:rsidP="005B4EB3">
            <w:pPr>
              <w:spacing w:after="0" w:line="240" w:lineRule="auto"/>
              <w:jc w:val="center"/>
              <w:rPr>
                <w:b/>
              </w:rPr>
            </w:pPr>
            <w:r w:rsidRPr="008256ED">
              <w:rPr>
                <w:b/>
              </w:rPr>
              <w:t>(R mil)</w:t>
            </w:r>
          </w:p>
        </w:tc>
        <w:tc>
          <w:tcPr>
            <w:tcW w:w="0" w:type="auto"/>
            <w:tcBorders>
              <w:top w:val="single" w:sz="18" w:space="0" w:color="000000"/>
              <w:left w:val="single" w:sz="6" w:space="0" w:color="000000"/>
              <w:bottom w:val="single" w:sz="6" w:space="0" w:color="000000"/>
              <w:right w:val="single" w:sz="6" w:space="0" w:color="000000"/>
            </w:tcBorders>
            <w:tcMar>
              <w:top w:w="28" w:type="dxa"/>
              <w:bottom w:w="28" w:type="dxa"/>
            </w:tcMar>
            <w:vAlign w:val="center"/>
          </w:tcPr>
          <w:p w:rsidR="002701FB" w:rsidRPr="008256ED" w:rsidRDefault="002701FB" w:rsidP="005B4EB3">
            <w:pPr>
              <w:spacing w:after="0" w:line="240" w:lineRule="auto"/>
              <w:jc w:val="center"/>
              <w:rPr>
                <w:b/>
              </w:rPr>
            </w:pPr>
            <w:r w:rsidRPr="008256ED">
              <w:rPr>
                <w:b/>
              </w:rPr>
              <w:t>DY</w:t>
            </w:r>
          </w:p>
        </w:tc>
        <w:tc>
          <w:tcPr>
            <w:tcW w:w="0" w:type="auto"/>
            <w:tcBorders>
              <w:top w:val="single" w:sz="18" w:space="0" w:color="000000"/>
              <w:left w:val="single" w:sz="6" w:space="0" w:color="000000"/>
              <w:bottom w:val="single" w:sz="6" w:space="0" w:color="000000"/>
              <w:right w:val="single" w:sz="18" w:space="0" w:color="000000"/>
            </w:tcBorders>
            <w:tcMar>
              <w:top w:w="28" w:type="dxa"/>
              <w:bottom w:w="28" w:type="dxa"/>
            </w:tcMar>
            <w:vAlign w:val="center"/>
          </w:tcPr>
          <w:p w:rsidR="002701FB" w:rsidRPr="008256ED" w:rsidRDefault="002701FB" w:rsidP="005B4EB3">
            <w:pPr>
              <w:spacing w:after="0" w:line="240" w:lineRule="auto"/>
              <w:jc w:val="center"/>
              <w:rPr>
                <w:b/>
              </w:rPr>
            </w:pPr>
            <w:r w:rsidRPr="008256ED">
              <w:rPr>
                <w:b/>
              </w:rPr>
              <w:t>PE ratio</w:t>
            </w:r>
          </w:p>
        </w:tc>
      </w:tr>
      <w:tr w:rsidR="002701FB" w:rsidRPr="008256ED" w:rsidTr="005B4EB3">
        <w:tc>
          <w:tcPr>
            <w:tcW w:w="0" w:type="auto"/>
            <w:tcBorders>
              <w:top w:val="single" w:sz="6" w:space="0" w:color="000000"/>
              <w:left w:val="single" w:sz="18" w:space="0" w:color="000000"/>
              <w:bottom w:val="single" w:sz="18" w:space="0" w:color="000000"/>
              <w:right w:val="single" w:sz="6" w:space="0" w:color="000000"/>
            </w:tcBorders>
            <w:tcMar>
              <w:top w:w="28" w:type="dxa"/>
              <w:bottom w:w="28" w:type="dxa"/>
            </w:tcMar>
          </w:tcPr>
          <w:p w:rsidR="002701FB" w:rsidRPr="008256ED" w:rsidRDefault="002701FB" w:rsidP="005B4EB3">
            <w:pPr>
              <w:spacing w:after="0"/>
              <w:jc w:val="center"/>
            </w:pPr>
            <w:r w:rsidRPr="008256ED">
              <w:t>T-Max</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5B4EB3">
            <w:pPr>
              <w:spacing w:after="0"/>
              <w:jc w:val="center"/>
            </w:pPr>
            <w:r w:rsidRPr="008256ED">
              <w:t>9 864</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5B4EB3">
            <w:pPr>
              <w:spacing w:after="0"/>
              <w:jc w:val="center"/>
            </w:pPr>
            <w:r w:rsidRPr="008256ED">
              <w:t>+ 428</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5B4EB3">
            <w:pPr>
              <w:spacing w:after="0"/>
              <w:jc w:val="center"/>
            </w:pPr>
            <w:r w:rsidRPr="008256ED">
              <w:t>+ 4,5</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5B4EB3">
            <w:pPr>
              <w:spacing w:after="0"/>
              <w:jc w:val="center"/>
            </w:pPr>
            <w:r w:rsidRPr="008256ED">
              <w:t>10 002</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5B4EB3">
            <w:pPr>
              <w:spacing w:after="0"/>
              <w:jc w:val="center"/>
            </w:pPr>
            <w:r w:rsidRPr="008256ED">
              <w:t>9 745</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5B4EB3">
            <w:pPr>
              <w:spacing w:after="0"/>
              <w:jc w:val="center"/>
            </w:pPr>
            <w:r w:rsidRPr="008256ED">
              <w:t>1 099</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5B4EB3">
            <w:pPr>
              <w:spacing w:after="0"/>
              <w:jc w:val="center"/>
            </w:pPr>
            <w:r w:rsidRPr="008256ED">
              <w:t>10 300</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5B4EB3">
            <w:pPr>
              <w:spacing w:after="0"/>
              <w:jc w:val="center"/>
            </w:pPr>
            <w:r w:rsidRPr="008256ED">
              <w:t>7 946</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5B4EB3">
            <w:pPr>
              <w:spacing w:after="0"/>
              <w:jc w:val="center"/>
            </w:pPr>
            <w:r w:rsidRPr="008256ED">
              <w:t>78 436,7</w:t>
            </w:r>
          </w:p>
        </w:tc>
        <w:tc>
          <w:tcPr>
            <w:tcW w:w="0" w:type="auto"/>
            <w:tcBorders>
              <w:top w:val="single" w:sz="6" w:space="0" w:color="000000"/>
              <w:left w:val="single" w:sz="6" w:space="0" w:color="000000"/>
              <w:bottom w:val="single" w:sz="18" w:space="0" w:color="000000"/>
              <w:right w:val="single" w:sz="6" w:space="0" w:color="000000"/>
            </w:tcBorders>
            <w:tcMar>
              <w:top w:w="28" w:type="dxa"/>
              <w:bottom w:w="28" w:type="dxa"/>
            </w:tcMar>
          </w:tcPr>
          <w:p w:rsidR="002701FB" w:rsidRPr="008256ED" w:rsidRDefault="002701FB" w:rsidP="005B4EB3">
            <w:pPr>
              <w:spacing w:after="0"/>
              <w:jc w:val="center"/>
            </w:pPr>
            <w:r w:rsidRPr="008256ED">
              <w:t>3,28</w:t>
            </w:r>
          </w:p>
        </w:tc>
        <w:tc>
          <w:tcPr>
            <w:tcW w:w="0" w:type="auto"/>
            <w:tcBorders>
              <w:top w:val="single" w:sz="6" w:space="0" w:color="000000"/>
              <w:left w:val="single" w:sz="6" w:space="0" w:color="000000"/>
              <w:bottom w:val="single" w:sz="18" w:space="0" w:color="000000"/>
              <w:right w:val="single" w:sz="18" w:space="0" w:color="000000"/>
            </w:tcBorders>
            <w:tcMar>
              <w:top w:w="28" w:type="dxa"/>
              <w:bottom w:w="28" w:type="dxa"/>
            </w:tcMar>
          </w:tcPr>
          <w:p w:rsidR="002701FB" w:rsidRPr="008256ED" w:rsidRDefault="002701FB" w:rsidP="005B4EB3">
            <w:pPr>
              <w:spacing w:after="0"/>
              <w:jc w:val="center"/>
            </w:pPr>
            <w:r w:rsidRPr="008256ED">
              <w:t>8,28</w:t>
            </w:r>
          </w:p>
        </w:tc>
      </w:tr>
    </w:tbl>
    <w:p w:rsidR="002701FB" w:rsidRPr="00D311E4" w:rsidRDefault="002701FB" w:rsidP="005B4EB3">
      <w:pPr>
        <w:pStyle w:val="NoSpacing"/>
        <w:ind w:left="720"/>
        <w:rPr>
          <w:rFonts w:asciiTheme="minorHAnsi" w:hAnsiTheme="minorHAnsi"/>
          <w:b/>
          <w:color w:val="FF0000"/>
          <w:szCs w:val="22"/>
        </w:rPr>
      </w:pPr>
    </w:p>
    <w:p w:rsidR="002701FB" w:rsidRPr="00D311E4" w:rsidRDefault="002701FB" w:rsidP="005B4EB3">
      <w:pPr>
        <w:ind w:left="720"/>
        <w:rPr>
          <w:b/>
          <w:color w:val="FF0000"/>
        </w:rPr>
      </w:pPr>
      <w:r w:rsidRPr="00D311E4">
        <w:rPr>
          <w:b/>
          <w:color w:val="FF0000"/>
        </w:rPr>
        <w:t>8</w:t>
      </w:r>
      <w:proofErr w:type="gramStart"/>
      <w:r w:rsidRPr="00D311E4">
        <w:rPr>
          <w:b/>
          <w:color w:val="FF0000"/>
        </w:rPr>
        <w:t>,28</w:t>
      </w:r>
      <w:proofErr w:type="gramEnd"/>
      <w:r w:rsidRPr="00D311E4">
        <w:rPr>
          <w:b/>
          <w:color w:val="FF0000"/>
        </w:rPr>
        <w:t xml:space="preserve"> years (according to PE ratio)</w:t>
      </w:r>
    </w:p>
    <w:p w:rsidR="002701FB" w:rsidRPr="008256ED" w:rsidRDefault="002701FB" w:rsidP="005B4EB3">
      <w:pPr>
        <w:pStyle w:val="Heading4"/>
      </w:pPr>
    </w:p>
    <w:p w:rsidR="002701FB" w:rsidRPr="008256ED" w:rsidRDefault="002701FB" w:rsidP="005B4EB3">
      <w:pPr>
        <w:rPr>
          <w:b/>
        </w:rPr>
      </w:pPr>
      <w:r w:rsidRPr="008256ED">
        <w:rPr>
          <w:b/>
        </w:rPr>
        <w:t>AMS Ltd paid a R0</w:t>
      </w:r>
      <w:proofErr w:type="gramStart"/>
      <w:r w:rsidRPr="008256ED">
        <w:rPr>
          <w:b/>
        </w:rPr>
        <w:t>,75</w:t>
      </w:r>
      <w:proofErr w:type="gramEnd"/>
      <w:r w:rsidRPr="008256ED">
        <w:rPr>
          <w:b/>
        </w:rPr>
        <w:t xml:space="preserve"> annual dividend in the CURRENT year. Assuming dividends are expected to grow at a constant rate of 8 per cent and a required rate of return of 11 per cent, calculate the intrinsic value.</w:t>
      </w:r>
    </w:p>
    <w:p w:rsidR="002701FB" w:rsidRPr="00D311E4" w:rsidRDefault="002701FB" w:rsidP="005B4EB3">
      <w:pPr>
        <w:ind w:left="720"/>
        <w:rPr>
          <w:b/>
          <w:color w:val="FF0000"/>
        </w:rPr>
      </w:pPr>
      <w:r w:rsidRPr="00D311E4">
        <w:rPr>
          <w:b/>
          <w:color w:val="FF0000"/>
        </w:rPr>
        <w:t>DPS</w:t>
      </w:r>
      <w:r w:rsidRPr="00D311E4">
        <w:rPr>
          <w:b/>
          <w:color w:val="FF0000"/>
          <w:vertAlign w:val="subscript"/>
        </w:rPr>
        <w:t>1</w:t>
      </w:r>
      <w:r w:rsidRPr="00D311E4">
        <w:rPr>
          <w:b/>
          <w:color w:val="FF0000"/>
        </w:rPr>
        <w:t xml:space="preserve"> = R0</w:t>
      </w:r>
      <w:proofErr w:type="gramStart"/>
      <w:r w:rsidRPr="00D311E4">
        <w:rPr>
          <w:b/>
          <w:color w:val="FF0000"/>
        </w:rPr>
        <w:t>,75</w:t>
      </w:r>
      <w:proofErr w:type="gramEnd"/>
      <w:r w:rsidRPr="00D311E4">
        <w:rPr>
          <w:b/>
          <w:color w:val="FF0000"/>
        </w:rPr>
        <w:t xml:space="preserve"> × (1 + 0,08) = R0,81</w:t>
      </w:r>
    </w:p>
    <w:p w:rsidR="002701FB" w:rsidRPr="00D311E4" w:rsidRDefault="002701FB" w:rsidP="005B4EB3">
      <w:pPr>
        <w:ind w:left="720"/>
        <w:rPr>
          <w:b/>
          <w:color w:val="FF0000"/>
        </w:rPr>
      </w:pPr>
      <w:r w:rsidRPr="00D311E4">
        <w:rPr>
          <w:b/>
          <w:color w:val="FF0000"/>
        </w:rPr>
        <w:t>Value of share = R0</w:t>
      </w:r>
      <w:proofErr w:type="gramStart"/>
      <w:r w:rsidRPr="00D311E4">
        <w:rPr>
          <w:b/>
          <w:color w:val="FF0000"/>
        </w:rPr>
        <w:t>,81</w:t>
      </w:r>
      <w:proofErr w:type="gramEnd"/>
      <w:r w:rsidRPr="00D311E4">
        <w:rPr>
          <w:b/>
          <w:color w:val="FF0000"/>
        </w:rPr>
        <w:t>/(0,11 – 0,08) = R27,00</w:t>
      </w:r>
    </w:p>
    <w:p w:rsidR="002701FB" w:rsidRPr="008256ED" w:rsidRDefault="002701FB" w:rsidP="005B4EB3">
      <w:pPr>
        <w:pStyle w:val="Heading4"/>
      </w:pPr>
    </w:p>
    <w:p w:rsidR="002701FB" w:rsidRPr="008256ED" w:rsidRDefault="002701FB" w:rsidP="005B4EB3">
      <w:pPr>
        <w:rPr>
          <w:b/>
        </w:rPr>
      </w:pPr>
      <w:r w:rsidRPr="008256ED">
        <w:rPr>
          <w:b/>
        </w:rPr>
        <w:t>What does the free cash flow to equity (FCFE) of a company indicate?</w:t>
      </w:r>
    </w:p>
    <w:p w:rsidR="002701FB" w:rsidRPr="00D311E4" w:rsidRDefault="002701FB" w:rsidP="005B4EB3">
      <w:pPr>
        <w:ind w:left="720"/>
        <w:rPr>
          <w:b/>
          <w:color w:val="FF0000"/>
        </w:rPr>
      </w:pPr>
      <w:r w:rsidRPr="00D311E4">
        <w:rPr>
          <w:b/>
          <w:color w:val="FF0000"/>
        </w:rPr>
        <w:t xml:space="preserve">FCFE indicates what the company can afford to pay as dividends. </w:t>
      </w:r>
    </w:p>
    <w:p w:rsidR="002701FB" w:rsidRPr="008256ED" w:rsidRDefault="002701FB" w:rsidP="005B4EB3">
      <w:pPr>
        <w:pStyle w:val="Heading4"/>
        <w:rPr>
          <w:lang w:val="en-US"/>
        </w:rPr>
      </w:pPr>
    </w:p>
    <w:p w:rsidR="002701FB" w:rsidRPr="008256ED" w:rsidRDefault="002701FB" w:rsidP="005B4EB3">
      <w:pPr>
        <w:rPr>
          <w:b/>
          <w:lang w:val="en-US"/>
        </w:rPr>
      </w:pPr>
      <w:r w:rsidRPr="008256ED">
        <w:rPr>
          <w:b/>
          <w:lang w:val="en-US"/>
        </w:rPr>
        <w:t xml:space="preserve">A broker enters a fill-or-kill market order to buy 5200 </w:t>
      </w:r>
      <w:proofErr w:type="spellStart"/>
      <w:r w:rsidRPr="008256ED">
        <w:rPr>
          <w:b/>
          <w:lang w:val="en-US"/>
        </w:rPr>
        <w:t>Protel</w:t>
      </w:r>
      <w:proofErr w:type="spellEnd"/>
      <w:r w:rsidRPr="008256ED">
        <w:rPr>
          <w:b/>
          <w:lang w:val="en-US"/>
        </w:rPr>
        <w:t xml:space="preserve"> shares. The following orders are already on the order book waiting to be executed during continuous trading. How will the new order be managed in the order 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4"/>
        <w:gridCol w:w="2585"/>
        <w:gridCol w:w="2585"/>
      </w:tblGrid>
      <w:tr w:rsidR="002701FB" w:rsidRPr="008256ED" w:rsidTr="005B4EB3">
        <w:tc>
          <w:tcPr>
            <w:tcW w:w="7754" w:type="dxa"/>
            <w:gridSpan w:val="3"/>
            <w:tcBorders>
              <w:top w:val="single" w:sz="12" w:space="0" w:color="auto"/>
              <w:left w:val="single" w:sz="12" w:space="0" w:color="auto"/>
              <w:bottom w:val="single" w:sz="12" w:space="0" w:color="auto"/>
              <w:right w:val="single" w:sz="12" w:space="0" w:color="auto"/>
            </w:tcBorders>
          </w:tcPr>
          <w:p w:rsidR="002701FB" w:rsidRPr="008256ED" w:rsidRDefault="002701FB" w:rsidP="005B4EB3">
            <w:pPr>
              <w:spacing w:after="0" w:line="240" w:lineRule="auto"/>
              <w:jc w:val="center"/>
              <w:rPr>
                <w:b/>
                <w:lang w:val="en-US"/>
              </w:rPr>
            </w:pPr>
            <w:r w:rsidRPr="008256ED">
              <w:rPr>
                <w:b/>
                <w:lang w:val="en-US"/>
              </w:rPr>
              <w:t>Sell orders</w:t>
            </w:r>
          </w:p>
        </w:tc>
      </w:tr>
      <w:tr w:rsidR="002701FB" w:rsidRPr="008256ED" w:rsidTr="005B4EB3">
        <w:tc>
          <w:tcPr>
            <w:tcW w:w="2584" w:type="dxa"/>
            <w:tcBorders>
              <w:top w:val="single" w:sz="12" w:space="0" w:color="auto"/>
              <w:left w:val="single" w:sz="12" w:space="0" w:color="auto"/>
              <w:bottom w:val="single" w:sz="12" w:space="0" w:color="auto"/>
              <w:right w:val="single" w:sz="6" w:space="0" w:color="auto"/>
            </w:tcBorders>
          </w:tcPr>
          <w:p w:rsidR="002701FB" w:rsidRPr="008256ED" w:rsidRDefault="002701FB" w:rsidP="005B4EB3">
            <w:pPr>
              <w:spacing w:after="0" w:line="240" w:lineRule="auto"/>
              <w:jc w:val="center"/>
              <w:rPr>
                <w:b/>
                <w:lang w:val="en-US"/>
              </w:rPr>
            </w:pPr>
          </w:p>
        </w:tc>
        <w:tc>
          <w:tcPr>
            <w:tcW w:w="2585" w:type="dxa"/>
            <w:tcBorders>
              <w:top w:val="single" w:sz="12" w:space="0" w:color="auto"/>
              <w:left w:val="single" w:sz="6" w:space="0" w:color="auto"/>
              <w:bottom w:val="single" w:sz="12" w:space="0" w:color="auto"/>
              <w:right w:val="single" w:sz="6" w:space="0" w:color="auto"/>
            </w:tcBorders>
          </w:tcPr>
          <w:p w:rsidR="002701FB" w:rsidRPr="008256ED" w:rsidRDefault="002701FB" w:rsidP="005B4EB3">
            <w:pPr>
              <w:spacing w:after="0" w:line="240" w:lineRule="auto"/>
              <w:jc w:val="center"/>
              <w:rPr>
                <w:b/>
                <w:lang w:val="en-US"/>
              </w:rPr>
            </w:pPr>
            <w:r w:rsidRPr="008256ED">
              <w:rPr>
                <w:b/>
                <w:lang w:val="en-US"/>
              </w:rPr>
              <w:t>Price</w:t>
            </w:r>
          </w:p>
        </w:tc>
        <w:tc>
          <w:tcPr>
            <w:tcW w:w="2585" w:type="dxa"/>
            <w:tcBorders>
              <w:top w:val="single" w:sz="12" w:space="0" w:color="auto"/>
              <w:left w:val="single" w:sz="6" w:space="0" w:color="auto"/>
              <w:bottom w:val="single" w:sz="12" w:space="0" w:color="auto"/>
              <w:right w:val="single" w:sz="12" w:space="0" w:color="auto"/>
            </w:tcBorders>
          </w:tcPr>
          <w:p w:rsidR="002701FB" w:rsidRPr="008256ED" w:rsidRDefault="002701FB" w:rsidP="005B4EB3">
            <w:pPr>
              <w:spacing w:after="0" w:line="240" w:lineRule="auto"/>
              <w:jc w:val="center"/>
              <w:rPr>
                <w:b/>
                <w:lang w:val="en-US"/>
              </w:rPr>
            </w:pPr>
            <w:r w:rsidRPr="008256ED">
              <w:rPr>
                <w:b/>
                <w:lang w:val="en-US"/>
              </w:rPr>
              <w:t>Size</w:t>
            </w:r>
          </w:p>
        </w:tc>
      </w:tr>
      <w:tr w:rsidR="002701FB" w:rsidRPr="008256ED" w:rsidTr="005B4EB3">
        <w:tc>
          <w:tcPr>
            <w:tcW w:w="2584" w:type="dxa"/>
            <w:tcBorders>
              <w:top w:val="single" w:sz="12" w:space="0" w:color="auto"/>
              <w:left w:val="single" w:sz="12" w:space="0" w:color="auto"/>
              <w:bottom w:val="single" w:sz="6" w:space="0" w:color="auto"/>
              <w:right w:val="single" w:sz="6" w:space="0" w:color="auto"/>
            </w:tcBorders>
          </w:tcPr>
          <w:p w:rsidR="002701FB" w:rsidRPr="008256ED" w:rsidRDefault="002701FB" w:rsidP="005B4EB3">
            <w:pPr>
              <w:spacing w:after="0" w:line="240" w:lineRule="auto"/>
              <w:rPr>
                <w:lang w:val="en-US"/>
              </w:rPr>
            </w:pPr>
            <w:r w:rsidRPr="008256ED">
              <w:rPr>
                <w:lang w:val="en-US"/>
              </w:rPr>
              <w:t xml:space="preserve">Order A </w:t>
            </w:r>
          </w:p>
        </w:tc>
        <w:tc>
          <w:tcPr>
            <w:tcW w:w="2585" w:type="dxa"/>
            <w:tcBorders>
              <w:top w:val="single" w:sz="12" w:space="0" w:color="auto"/>
              <w:left w:val="single" w:sz="6" w:space="0" w:color="auto"/>
              <w:bottom w:val="single" w:sz="6" w:space="0" w:color="auto"/>
              <w:right w:val="single" w:sz="6" w:space="0" w:color="auto"/>
            </w:tcBorders>
          </w:tcPr>
          <w:p w:rsidR="002701FB" w:rsidRPr="008256ED" w:rsidRDefault="002701FB" w:rsidP="005B4EB3">
            <w:pPr>
              <w:spacing w:after="0" w:line="240" w:lineRule="auto"/>
              <w:jc w:val="center"/>
              <w:rPr>
                <w:lang w:val="en-US"/>
              </w:rPr>
            </w:pPr>
            <w:r w:rsidRPr="008256ED">
              <w:rPr>
                <w:lang w:val="en-US"/>
              </w:rPr>
              <w:t>208</w:t>
            </w:r>
          </w:p>
        </w:tc>
        <w:tc>
          <w:tcPr>
            <w:tcW w:w="2585" w:type="dxa"/>
            <w:tcBorders>
              <w:top w:val="single" w:sz="12" w:space="0" w:color="auto"/>
              <w:left w:val="single" w:sz="6" w:space="0" w:color="auto"/>
              <w:bottom w:val="single" w:sz="6" w:space="0" w:color="auto"/>
              <w:right w:val="single" w:sz="12" w:space="0" w:color="auto"/>
            </w:tcBorders>
          </w:tcPr>
          <w:p w:rsidR="002701FB" w:rsidRPr="008256ED" w:rsidRDefault="002701FB" w:rsidP="005B4EB3">
            <w:pPr>
              <w:spacing w:after="0" w:line="240" w:lineRule="auto"/>
              <w:jc w:val="center"/>
              <w:rPr>
                <w:lang w:val="en-US"/>
              </w:rPr>
            </w:pPr>
            <w:r w:rsidRPr="008256ED">
              <w:rPr>
                <w:lang w:val="en-US"/>
              </w:rPr>
              <w:t>1 200</w:t>
            </w:r>
          </w:p>
        </w:tc>
      </w:tr>
      <w:tr w:rsidR="002701FB" w:rsidRPr="008256ED" w:rsidTr="005B4EB3">
        <w:tc>
          <w:tcPr>
            <w:tcW w:w="2584" w:type="dxa"/>
            <w:tcBorders>
              <w:top w:val="single" w:sz="6" w:space="0" w:color="auto"/>
              <w:left w:val="single" w:sz="12" w:space="0" w:color="auto"/>
              <w:bottom w:val="single" w:sz="6" w:space="0" w:color="auto"/>
              <w:right w:val="single" w:sz="6" w:space="0" w:color="auto"/>
            </w:tcBorders>
          </w:tcPr>
          <w:p w:rsidR="002701FB" w:rsidRPr="008256ED" w:rsidRDefault="002701FB" w:rsidP="005B4EB3">
            <w:pPr>
              <w:spacing w:after="0" w:line="240" w:lineRule="auto"/>
              <w:rPr>
                <w:lang w:val="en-US"/>
              </w:rPr>
            </w:pPr>
            <w:r w:rsidRPr="008256ED">
              <w:rPr>
                <w:lang w:val="en-US"/>
              </w:rPr>
              <w:t xml:space="preserve">Order B </w:t>
            </w:r>
          </w:p>
        </w:tc>
        <w:tc>
          <w:tcPr>
            <w:tcW w:w="2585" w:type="dxa"/>
            <w:tcBorders>
              <w:top w:val="single" w:sz="6" w:space="0" w:color="auto"/>
              <w:left w:val="single" w:sz="6" w:space="0" w:color="auto"/>
              <w:bottom w:val="single" w:sz="6" w:space="0" w:color="auto"/>
              <w:right w:val="single" w:sz="6" w:space="0" w:color="auto"/>
            </w:tcBorders>
          </w:tcPr>
          <w:p w:rsidR="002701FB" w:rsidRPr="008256ED" w:rsidRDefault="002701FB" w:rsidP="005B4EB3">
            <w:pPr>
              <w:spacing w:after="0" w:line="240" w:lineRule="auto"/>
              <w:jc w:val="center"/>
              <w:rPr>
                <w:lang w:val="en-US"/>
              </w:rPr>
            </w:pPr>
            <w:r w:rsidRPr="008256ED">
              <w:rPr>
                <w:lang w:val="en-US"/>
              </w:rPr>
              <w:t>207</w:t>
            </w:r>
          </w:p>
        </w:tc>
        <w:tc>
          <w:tcPr>
            <w:tcW w:w="2585" w:type="dxa"/>
            <w:tcBorders>
              <w:top w:val="single" w:sz="6" w:space="0" w:color="auto"/>
              <w:left w:val="single" w:sz="6" w:space="0" w:color="auto"/>
              <w:bottom w:val="single" w:sz="6" w:space="0" w:color="auto"/>
              <w:right w:val="single" w:sz="12" w:space="0" w:color="auto"/>
            </w:tcBorders>
          </w:tcPr>
          <w:p w:rsidR="002701FB" w:rsidRPr="008256ED" w:rsidRDefault="002701FB" w:rsidP="005B4EB3">
            <w:pPr>
              <w:spacing w:after="0" w:line="240" w:lineRule="auto"/>
              <w:jc w:val="center"/>
              <w:rPr>
                <w:lang w:val="en-US"/>
              </w:rPr>
            </w:pPr>
            <w:r w:rsidRPr="008256ED">
              <w:rPr>
                <w:lang w:val="en-US"/>
              </w:rPr>
              <w:t>1 400</w:t>
            </w:r>
          </w:p>
        </w:tc>
      </w:tr>
      <w:tr w:rsidR="002701FB" w:rsidRPr="008256ED" w:rsidTr="005B4EB3">
        <w:tc>
          <w:tcPr>
            <w:tcW w:w="2584" w:type="dxa"/>
            <w:tcBorders>
              <w:top w:val="single" w:sz="6" w:space="0" w:color="auto"/>
              <w:left w:val="single" w:sz="12" w:space="0" w:color="auto"/>
              <w:bottom w:val="single" w:sz="12" w:space="0" w:color="auto"/>
              <w:right w:val="single" w:sz="6" w:space="0" w:color="auto"/>
            </w:tcBorders>
          </w:tcPr>
          <w:p w:rsidR="002701FB" w:rsidRPr="008256ED" w:rsidRDefault="002701FB" w:rsidP="005B4EB3">
            <w:pPr>
              <w:spacing w:after="0" w:line="240" w:lineRule="auto"/>
              <w:rPr>
                <w:lang w:val="en-US"/>
              </w:rPr>
            </w:pPr>
            <w:r w:rsidRPr="008256ED">
              <w:rPr>
                <w:lang w:val="en-US"/>
              </w:rPr>
              <w:t>Order C</w:t>
            </w:r>
          </w:p>
        </w:tc>
        <w:tc>
          <w:tcPr>
            <w:tcW w:w="2585" w:type="dxa"/>
            <w:tcBorders>
              <w:top w:val="single" w:sz="6" w:space="0" w:color="auto"/>
              <w:left w:val="single" w:sz="6" w:space="0" w:color="auto"/>
              <w:bottom w:val="single" w:sz="12" w:space="0" w:color="auto"/>
              <w:right w:val="single" w:sz="6" w:space="0" w:color="auto"/>
            </w:tcBorders>
          </w:tcPr>
          <w:p w:rsidR="002701FB" w:rsidRPr="008256ED" w:rsidRDefault="002701FB" w:rsidP="005B4EB3">
            <w:pPr>
              <w:spacing w:after="0" w:line="240" w:lineRule="auto"/>
              <w:jc w:val="center"/>
              <w:rPr>
                <w:lang w:val="en-US"/>
              </w:rPr>
            </w:pPr>
            <w:r w:rsidRPr="008256ED">
              <w:rPr>
                <w:lang w:val="en-US"/>
              </w:rPr>
              <w:t>205</w:t>
            </w:r>
          </w:p>
        </w:tc>
        <w:tc>
          <w:tcPr>
            <w:tcW w:w="2585" w:type="dxa"/>
            <w:tcBorders>
              <w:top w:val="single" w:sz="6" w:space="0" w:color="auto"/>
              <w:left w:val="single" w:sz="6" w:space="0" w:color="auto"/>
              <w:bottom w:val="single" w:sz="12" w:space="0" w:color="auto"/>
              <w:right w:val="single" w:sz="12" w:space="0" w:color="auto"/>
            </w:tcBorders>
          </w:tcPr>
          <w:p w:rsidR="002701FB" w:rsidRPr="008256ED" w:rsidRDefault="002701FB" w:rsidP="005B4EB3">
            <w:pPr>
              <w:spacing w:after="0" w:line="240" w:lineRule="auto"/>
              <w:jc w:val="center"/>
              <w:rPr>
                <w:lang w:val="en-US"/>
              </w:rPr>
            </w:pPr>
            <w:r w:rsidRPr="008256ED">
              <w:rPr>
                <w:lang w:val="en-US"/>
              </w:rPr>
              <w:t>1 800</w:t>
            </w:r>
          </w:p>
        </w:tc>
      </w:tr>
    </w:tbl>
    <w:p w:rsidR="002701FB" w:rsidRPr="008256ED" w:rsidRDefault="002701FB" w:rsidP="005B4EB3">
      <w:pPr>
        <w:pStyle w:val="NoSpacing"/>
        <w:rPr>
          <w:rFonts w:asciiTheme="minorHAnsi" w:hAnsiTheme="minorHAnsi"/>
          <w:szCs w:val="22"/>
        </w:rPr>
      </w:pPr>
    </w:p>
    <w:p w:rsidR="002701FB" w:rsidRPr="00D311E4" w:rsidRDefault="002701FB" w:rsidP="005B4EB3">
      <w:pPr>
        <w:ind w:left="720"/>
        <w:rPr>
          <w:b/>
          <w:bCs/>
          <w:color w:val="FF0000"/>
          <w:lang w:val="en-US"/>
        </w:rPr>
      </w:pPr>
      <w:r w:rsidRPr="00D311E4">
        <w:rPr>
          <w:b/>
          <w:color w:val="FF0000"/>
        </w:rPr>
        <w:t>The order will not</w:t>
      </w:r>
      <w:r w:rsidRPr="00D311E4">
        <w:rPr>
          <w:b/>
          <w:color w:val="FF0000"/>
          <w:lang w:val="en-US"/>
        </w:rPr>
        <w:t xml:space="preserve"> execute at all and the complete order will be deleted from the JSE central order book. </w:t>
      </w:r>
    </w:p>
    <w:p w:rsidR="002701FB" w:rsidRPr="008256ED" w:rsidRDefault="002701FB" w:rsidP="005B4EB3">
      <w:pPr>
        <w:pStyle w:val="Heading4"/>
        <w:rPr>
          <w:lang w:val="en-US"/>
        </w:rPr>
      </w:pPr>
    </w:p>
    <w:p w:rsidR="002701FB" w:rsidRPr="008256ED" w:rsidRDefault="002701FB" w:rsidP="005B4EB3">
      <w:pPr>
        <w:rPr>
          <w:b/>
          <w:lang w:val="en-US"/>
        </w:rPr>
      </w:pPr>
      <w:r w:rsidRPr="008256ED">
        <w:rPr>
          <w:b/>
          <w:lang w:val="en-US"/>
        </w:rPr>
        <w:t>Distinguish between covered and naked short sales.</w:t>
      </w:r>
    </w:p>
    <w:p w:rsidR="002701FB" w:rsidRPr="00D311E4" w:rsidRDefault="002701FB" w:rsidP="005B4EB3">
      <w:pPr>
        <w:ind w:left="720"/>
        <w:rPr>
          <w:b/>
          <w:color w:val="FF0000"/>
          <w:lang w:val="en-US"/>
        </w:rPr>
      </w:pPr>
      <w:r w:rsidRPr="00D311E4">
        <w:rPr>
          <w:b/>
          <w:color w:val="FF0000"/>
          <w:lang w:val="en-US"/>
        </w:rPr>
        <w:t xml:space="preserve">A short sale is a sale of a share that the seller does not own. </w:t>
      </w:r>
    </w:p>
    <w:p w:rsidR="002701FB" w:rsidRPr="00D311E4" w:rsidRDefault="002701FB" w:rsidP="005B4EB3">
      <w:pPr>
        <w:ind w:left="720"/>
        <w:rPr>
          <w:b/>
          <w:color w:val="FF0000"/>
          <w:lang w:val="en-US"/>
        </w:rPr>
      </w:pPr>
      <w:r w:rsidRPr="00D311E4">
        <w:rPr>
          <w:b/>
          <w:color w:val="FF0000"/>
          <w:lang w:val="en-US"/>
        </w:rPr>
        <w:t xml:space="preserve">In a covered short sale transaction, the seller borrows shares and delivers them to the buyer within the standard settlement period (currently </w:t>
      </w:r>
      <w:r w:rsidR="003F3439" w:rsidRPr="00A76BDD">
        <w:rPr>
          <w:b/>
          <w:color w:val="FF0000"/>
          <w:lang w:val="en-US"/>
        </w:rPr>
        <w:t>five</w:t>
      </w:r>
      <w:bookmarkStart w:id="12" w:name="_GoBack"/>
      <w:bookmarkEnd w:id="12"/>
      <w:r w:rsidRPr="00D311E4">
        <w:rPr>
          <w:b/>
          <w:color w:val="FF0000"/>
          <w:lang w:val="en-US"/>
        </w:rPr>
        <w:t xml:space="preserve"> business days). When it is time to exit the short position at some point in the future, the short seller will purchase equivalent shares in the market. These shares are then returned to the lender – that is, the original holder of the shares.</w:t>
      </w:r>
    </w:p>
    <w:p w:rsidR="002701FB" w:rsidRPr="00D311E4" w:rsidRDefault="002701FB" w:rsidP="005B4EB3">
      <w:pPr>
        <w:ind w:left="720"/>
        <w:rPr>
          <w:b/>
          <w:color w:val="FF0000"/>
          <w:lang w:val="en-US"/>
        </w:rPr>
      </w:pPr>
      <w:r w:rsidRPr="00D311E4">
        <w:rPr>
          <w:b/>
          <w:color w:val="FF0000"/>
          <w:lang w:val="en-US"/>
        </w:rPr>
        <w:t>A naked short sale occurs when the seller does not borrow shares to make delivery to the buyer. JSE equities rules prohibit naked short selling.</w:t>
      </w:r>
    </w:p>
    <w:p w:rsidR="002701FB" w:rsidRDefault="002701FB" w:rsidP="005B4EB3">
      <w:pPr>
        <w:spacing w:after="0" w:line="240" w:lineRule="auto"/>
        <w:rPr>
          <w:b/>
          <w:bCs/>
          <w:smallCaps/>
        </w:rPr>
      </w:pPr>
      <w:r>
        <w:br w:type="page"/>
      </w:r>
    </w:p>
    <w:p w:rsidR="002701FB" w:rsidRPr="002061BC" w:rsidRDefault="002701FB" w:rsidP="005B4EB3">
      <w:pPr>
        <w:pStyle w:val="Heading3"/>
      </w:pPr>
      <w:bookmarkStart w:id="13" w:name="AC12TFQ"/>
      <w:r w:rsidRPr="002061BC">
        <w:lastRenderedPageBreak/>
        <w:t xml:space="preserve">  </w:t>
      </w:r>
      <w:bookmarkStart w:id="14" w:name="_Toc320540599"/>
      <w:r w:rsidRPr="002061BC">
        <w:t>True or false questions</w:t>
      </w:r>
      <w:bookmarkEnd w:id="14"/>
    </w:p>
    <w:bookmarkEnd w:id="13"/>
    <w:p w:rsidR="002701FB" w:rsidRPr="00292B10" w:rsidRDefault="002701FB" w:rsidP="005B4EB3">
      <w:pPr>
        <w:ind w:right="-897"/>
        <w:jc w:val="right"/>
        <w:rPr>
          <w:rStyle w:val="Hyperlink"/>
          <w:sz w:val="20"/>
        </w:rPr>
      </w:pPr>
      <w:r>
        <w:rPr>
          <w:sz w:val="20"/>
        </w:rPr>
        <w:fldChar w:fldCharType="begin"/>
      </w:r>
      <w:r>
        <w:rPr>
          <w:sz w:val="20"/>
        </w:rPr>
        <w:instrText xml:space="preserve"> HYPERLINK  \l "C12TFQ" </w:instrText>
      </w:r>
      <w:r>
        <w:rPr>
          <w:sz w:val="20"/>
        </w:rPr>
        <w:fldChar w:fldCharType="separate"/>
      </w:r>
      <w:r w:rsidRPr="00292B10">
        <w:rPr>
          <w:rStyle w:val="Hyperlink"/>
          <w:sz w:val="20"/>
        </w:rPr>
        <w:t xml:space="preserve">Go back to  </w:t>
      </w:r>
      <w:r>
        <w:rPr>
          <w:rStyle w:val="Hyperlink"/>
          <w:sz w:val="20"/>
        </w:rPr>
        <w:sym w:font="Wingdings" w:char="F0EF"/>
      </w:r>
      <w:r w:rsidRPr="00292B10">
        <w:rPr>
          <w:rStyle w:val="Hyperlink"/>
          <w:sz w:val="20"/>
        </w:rPr>
        <w:t xml:space="preserve"> True/False questions </w:t>
      </w:r>
    </w:p>
    <w:p w:rsidR="002701FB" w:rsidRPr="002061BC" w:rsidRDefault="002701FB" w:rsidP="005B4EB3">
      <w:pPr>
        <w:tabs>
          <w:tab w:val="left" w:pos="7074"/>
        </w:tabs>
        <w:rPr>
          <w:i/>
        </w:rPr>
      </w:pPr>
      <w:r>
        <w:rPr>
          <w:sz w:val="20"/>
        </w:rPr>
        <w:fldChar w:fldCharType="end"/>
      </w:r>
      <w:r w:rsidRPr="002061BC">
        <w:rPr>
          <w:i/>
        </w:rPr>
        <w:t>Read the statements below and indicate whether they are true or false.</w:t>
      </w:r>
      <w:r w:rsidRPr="002061BC">
        <w:rPr>
          <w:i/>
        </w:rPr>
        <w:tab/>
      </w:r>
    </w:p>
    <w:p w:rsidR="002701FB" w:rsidRPr="008256ED" w:rsidRDefault="002701FB" w:rsidP="002701FB">
      <w:pPr>
        <w:pStyle w:val="Heading4"/>
        <w:numPr>
          <w:ilvl w:val="0"/>
          <w:numId w:val="36"/>
        </w:numPr>
      </w:pPr>
    </w:p>
    <w:p w:rsidR="002701FB" w:rsidRPr="008256ED" w:rsidRDefault="002701FB" w:rsidP="005B4EB3">
      <w:pPr>
        <w:rPr>
          <w:b/>
        </w:rPr>
      </w:pPr>
      <w:r w:rsidRPr="008256ED">
        <w:rPr>
          <w:b/>
        </w:rPr>
        <w:t>The shares of private limited companies may be listed and sold to the general public via stock exchanges.</w:t>
      </w:r>
    </w:p>
    <w:p w:rsidR="002701FB" w:rsidRPr="00D311E4" w:rsidRDefault="002701FB" w:rsidP="005B4EB3">
      <w:pPr>
        <w:ind w:left="720"/>
        <w:rPr>
          <w:b/>
          <w:color w:val="FF0000"/>
        </w:rPr>
      </w:pPr>
      <w:r w:rsidRPr="00D311E4">
        <w:rPr>
          <w:b/>
          <w:color w:val="FF0000"/>
        </w:rPr>
        <w:t xml:space="preserve">False – the shares of private limited companies may not be offered for sale to the public. Transferability of shares is also restricted. </w:t>
      </w:r>
    </w:p>
    <w:p w:rsidR="002701FB" w:rsidRPr="008256ED" w:rsidRDefault="002701FB" w:rsidP="005B4EB3">
      <w:pPr>
        <w:pStyle w:val="Heading4"/>
      </w:pPr>
    </w:p>
    <w:p w:rsidR="002701FB" w:rsidRPr="008256ED" w:rsidRDefault="002701FB" w:rsidP="005B4EB3">
      <w:pPr>
        <w:rPr>
          <w:b/>
        </w:rPr>
      </w:pPr>
      <w:r w:rsidRPr="008256ED">
        <w:rPr>
          <w:b/>
        </w:rPr>
        <w:t>Preference shareholders have the right to choose directors and vote on matters of importance to the company.</w:t>
      </w:r>
    </w:p>
    <w:p w:rsidR="002701FB" w:rsidRPr="00D311E4" w:rsidRDefault="002701FB" w:rsidP="005B4EB3">
      <w:pPr>
        <w:ind w:left="720"/>
        <w:rPr>
          <w:b/>
          <w:color w:val="FF0000"/>
        </w:rPr>
      </w:pPr>
      <w:r w:rsidRPr="00D311E4">
        <w:rPr>
          <w:b/>
          <w:color w:val="FF0000"/>
        </w:rPr>
        <w:t>False – preference shareholders only have limited voting rights and these usually do not concern important matters of the company.</w:t>
      </w:r>
    </w:p>
    <w:p w:rsidR="002701FB" w:rsidRPr="008256ED" w:rsidRDefault="002701FB" w:rsidP="005B4EB3">
      <w:pPr>
        <w:pStyle w:val="Heading4"/>
      </w:pPr>
    </w:p>
    <w:p w:rsidR="002701FB" w:rsidRPr="008256ED" w:rsidRDefault="002701FB" w:rsidP="005B4EB3">
      <w:pPr>
        <w:rPr>
          <w:b/>
        </w:rPr>
      </w:pPr>
      <w:r w:rsidRPr="008256ED">
        <w:rPr>
          <w:b/>
        </w:rPr>
        <w:t>The prices of exchange-traded funds (ETFs) fluctuate at once in response to changes in their underlying portfolios, thereby offering the same intraday liquidity as other shares traded on exchange.</w:t>
      </w:r>
    </w:p>
    <w:p w:rsidR="002701FB" w:rsidRPr="00D311E4" w:rsidRDefault="002701FB" w:rsidP="005B4EB3">
      <w:pPr>
        <w:ind w:left="720"/>
        <w:rPr>
          <w:b/>
          <w:color w:val="FF0000"/>
        </w:rPr>
      </w:pPr>
      <w:r w:rsidRPr="00D311E4">
        <w:rPr>
          <w:b/>
          <w:color w:val="FF0000"/>
        </w:rPr>
        <w:t>True</w:t>
      </w:r>
    </w:p>
    <w:p w:rsidR="002701FB" w:rsidRPr="008256ED" w:rsidRDefault="002701FB" w:rsidP="005B4EB3">
      <w:pPr>
        <w:pStyle w:val="Heading4"/>
      </w:pPr>
    </w:p>
    <w:p w:rsidR="002701FB" w:rsidRPr="008256ED" w:rsidRDefault="002701FB" w:rsidP="005B4EB3">
      <w:pPr>
        <w:rPr>
          <w:b/>
        </w:rPr>
      </w:pPr>
      <w:r w:rsidRPr="008256ED">
        <w:rPr>
          <w:b/>
        </w:rPr>
        <w:t>The listing requirements of the JSE stipulate that the CEO of an issuing company may not hold the position of chairman of the board.</w:t>
      </w:r>
    </w:p>
    <w:p w:rsidR="002701FB" w:rsidRPr="00D311E4" w:rsidRDefault="002701FB" w:rsidP="005B4EB3">
      <w:pPr>
        <w:ind w:left="720"/>
        <w:rPr>
          <w:b/>
          <w:color w:val="FF0000"/>
        </w:rPr>
      </w:pPr>
      <w:r w:rsidRPr="00D311E4">
        <w:rPr>
          <w:b/>
          <w:color w:val="FF0000"/>
        </w:rPr>
        <w:t>True</w:t>
      </w:r>
    </w:p>
    <w:p w:rsidR="002701FB" w:rsidRPr="008256ED" w:rsidRDefault="002701FB" w:rsidP="005B4EB3">
      <w:pPr>
        <w:pStyle w:val="Heading4"/>
      </w:pPr>
    </w:p>
    <w:p w:rsidR="002701FB" w:rsidRPr="008256ED" w:rsidRDefault="002701FB" w:rsidP="005B4EB3">
      <w:pPr>
        <w:rPr>
          <w:b/>
        </w:rPr>
      </w:pPr>
      <w:r w:rsidRPr="008256ED">
        <w:rPr>
          <w:b/>
        </w:rPr>
        <w:t>The earnings yield is the annual earnings per share divided by the market price, which is also equal to the inverse of the dividend yield.</w:t>
      </w:r>
    </w:p>
    <w:p w:rsidR="002701FB" w:rsidRPr="00D311E4" w:rsidRDefault="002701FB" w:rsidP="005B4EB3">
      <w:pPr>
        <w:ind w:left="720"/>
        <w:rPr>
          <w:b/>
          <w:color w:val="FF0000"/>
        </w:rPr>
      </w:pPr>
      <w:r w:rsidRPr="00D311E4">
        <w:rPr>
          <w:b/>
          <w:color w:val="FF0000"/>
        </w:rPr>
        <w:t>False – the earning</w:t>
      </w:r>
      <w:r>
        <w:rPr>
          <w:b/>
          <w:color w:val="FF0000"/>
        </w:rPr>
        <w:t>s</w:t>
      </w:r>
      <w:r w:rsidRPr="00D311E4">
        <w:rPr>
          <w:b/>
          <w:color w:val="FF0000"/>
        </w:rPr>
        <w:t xml:space="preserve"> yield is the inverse of the price/earnings ratio.</w:t>
      </w:r>
    </w:p>
    <w:p w:rsidR="002701FB" w:rsidRPr="008256ED" w:rsidRDefault="002701FB" w:rsidP="005B4EB3">
      <w:pPr>
        <w:rPr>
          <w:b/>
          <w:bCs/>
          <w:smallCaps/>
          <w:color w:val="943634"/>
        </w:rPr>
      </w:pPr>
      <w:r w:rsidRPr="008256ED">
        <w:br w:type="page"/>
      </w:r>
    </w:p>
    <w:p w:rsidR="002701FB" w:rsidRDefault="002701FB" w:rsidP="005B4EB3">
      <w:pPr>
        <w:pStyle w:val="Heading3"/>
      </w:pPr>
      <w:bookmarkStart w:id="15" w:name="AC12CTCT"/>
      <w:r w:rsidRPr="002061BC">
        <w:lastRenderedPageBreak/>
        <w:t xml:space="preserve">  </w:t>
      </w:r>
      <w:bookmarkStart w:id="16" w:name="_Toc320540600"/>
      <w:r w:rsidRPr="002061BC">
        <w:t>Choose the correct term</w:t>
      </w:r>
      <w:bookmarkEnd w:id="16"/>
    </w:p>
    <w:bookmarkEnd w:id="15"/>
    <w:p w:rsidR="002701FB" w:rsidRPr="002752D2" w:rsidRDefault="002701FB" w:rsidP="00777F07">
      <w:pPr>
        <w:tabs>
          <w:tab w:val="left" w:pos="4485"/>
          <w:tab w:val="right" w:pos="9781"/>
        </w:tabs>
        <w:ind w:right="-897"/>
        <w:rPr>
          <w:sz w:val="20"/>
        </w:rPr>
      </w:pPr>
      <w:r>
        <w:tab/>
      </w:r>
      <w:r>
        <w:tab/>
      </w:r>
      <w:hyperlink w:anchor="C12CTCT" w:history="1">
        <w:r w:rsidRPr="00777F07">
          <w:rPr>
            <w:rStyle w:val="Hyperlink"/>
            <w:sz w:val="20"/>
          </w:rPr>
          <w:t xml:space="preserve">Go back to  </w:t>
        </w:r>
        <w:r w:rsidRPr="00777F07">
          <w:rPr>
            <w:rStyle w:val="Hyperlink"/>
            <w:sz w:val="24"/>
          </w:rPr>
          <w:sym w:font="Wingdings" w:char="F0EF"/>
        </w:r>
        <w:r w:rsidRPr="00777F07">
          <w:rPr>
            <w:rStyle w:val="Hyperlink"/>
            <w:sz w:val="20"/>
          </w:rPr>
          <w:t xml:space="preserve"> Choose the correct term</w:t>
        </w:r>
      </w:hyperlink>
      <w:r>
        <w:rPr>
          <w:sz w:val="20"/>
        </w:rPr>
        <w:t xml:space="preserve"> </w:t>
      </w:r>
    </w:p>
    <w:p w:rsidR="002701FB" w:rsidRDefault="002701FB" w:rsidP="005B4EB3">
      <w:pPr>
        <w:pBdr>
          <w:bottom w:val="single" w:sz="4" w:space="1" w:color="auto"/>
        </w:pBdr>
        <w:rPr>
          <w:i/>
        </w:rPr>
      </w:pPr>
      <w:r w:rsidRPr="002061BC">
        <w:rPr>
          <w:i/>
        </w:rPr>
        <w:t>Select the correct term to make the statement accurate.</w:t>
      </w:r>
    </w:p>
    <w:p w:rsidR="002701FB" w:rsidRPr="008256ED" w:rsidRDefault="002701FB" w:rsidP="002701FB">
      <w:pPr>
        <w:pStyle w:val="Heading4"/>
        <w:numPr>
          <w:ilvl w:val="0"/>
          <w:numId w:val="37"/>
        </w:numPr>
      </w:pPr>
      <w:r w:rsidRPr="008256ED">
        <w:t xml:space="preserve"> </w:t>
      </w:r>
    </w:p>
    <w:p w:rsidR="002701FB" w:rsidRPr="008256ED" w:rsidRDefault="002701FB" w:rsidP="005B4EB3">
      <w:pPr>
        <w:rPr>
          <w:b/>
        </w:rPr>
      </w:pPr>
      <w:r w:rsidRPr="008256ED">
        <w:rPr>
          <w:b/>
        </w:rPr>
        <w:t xml:space="preserve">South African American Depository Receipts (ADRs) are </w:t>
      </w:r>
      <w:r w:rsidRPr="008256ED">
        <w:rPr>
          <w:b/>
          <w:u w:val="single"/>
        </w:rPr>
        <w:t>USD-</w:t>
      </w:r>
      <w:r w:rsidRPr="008256ED">
        <w:rPr>
          <w:b/>
        </w:rPr>
        <w:t>/</w:t>
      </w:r>
      <w:r w:rsidRPr="008256ED">
        <w:rPr>
          <w:b/>
          <w:u w:val="single"/>
        </w:rPr>
        <w:t>ZAR</w:t>
      </w:r>
      <w:r w:rsidRPr="008256ED">
        <w:rPr>
          <w:b/>
        </w:rPr>
        <w:t xml:space="preserve">-denominated depository receipts representing ownership in South African shares issued by a </w:t>
      </w:r>
      <w:r w:rsidRPr="008256ED">
        <w:rPr>
          <w:b/>
          <w:u w:val="single"/>
        </w:rPr>
        <w:t>US</w:t>
      </w:r>
      <w:r w:rsidRPr="008256ED">
        <w:rPr>
          <w:b/>
        </w:rPr>
        <w:t>/</w:t>
      </w:r>
      <w:r w:rsidRPr="008256ED">
        <w:rPr>
          <w:b/>
          <w:u w:val="single"/>
        </w:rPr>
        <w:t>ZAR</w:t>
      </w:r>
      <w:r w:rsidRPr="008256ED">
        <w:rPr>
          <w:b/>
        </w:rPr>
        <w:t xml:space="preserve"> depository bank.</w:t>
      </w:r>
    </w:p>
    <w:p w:rsidR="002701FB" w:rsidRPr="00D311E4" w:rsidRDefault="002701FB" w:rsidP="005B4EB3">
      <w:pPr>
        <w:ind w:left="720"/>
        <w:rPr>
          <w:b/>
          <w:color w:val="FF0000"/>
        </w:rPr>
      </w:pPr>
      <w:r w:rsidRPr="00D311E4">
        <w:rPr>
          <w:b/>
          <w:color w:val="FF0000"/>
        </w:rPr>
        <w:t>USD-; US</w:t>
      </w:r>
    </w:p>
    <w:p w:rsidR="002701FB" w:rsidRPr="008256ED" w:rsidRDefault="002701FB" w:rsidP="005B4EB3">
      <w:pPr>
        <w:pStyle w:val="Heading4"/>
      </w:pPr>
    </w:p>
    <w:p w:rsidR="002701FB" w:rsidRPr="008256ED" w:rsidRDefault="002701FB" w:rsidP="005B4EB3">
      <w:pPr>
        <w:rPr>
          <w:b/>
        </w:rPr>
      </w:pPr>
      <w:r w:rsidRPr="008256ED">
        <w:rPr>
          <w:b/>
          <w:u w:val="single"/>
        </w:rPr>
        <w:t>Investment banks</w:t>
      </w:r>
      <w:r w:rsidRPr="008256ED">
        <w:rPr>
          <w:b/>
        </w:rPr>
        <w:t>/</w:t>
      </w:r>
      <w:r w:rsidRPr="008256ED">
        <w:rPr>
          <w:b/>
          <w:u w:val="single"/>
        </w:rPr>
        <w:t>venture capitalists</w:t>
      </w:r>
      <w:r w:rsidRPr="008256ED">
        <w:rPr>
          <w:b/>
        </w:rPr>
        <w:t xml:space="preserve"> invest medium- and long-term funds in new and young firms.</w:t>
      </w:r>
    </w:p>
    <w:p w:rsidR="002701FB" w:rsidRPr="00D311E4" w:rsidRDefault="002701FB" w:rsidP="005B4EB3">
      <w:pPr>
        <w:ind w:left="720"/>
        <w:rPr>
          <w:b/>
          <w:color w:val="FF0000"/>
        </w:rPr>
      </w:pPr>
      <w:r w:rsidRPr="00D311E4">
        <w:rPr>
          <w:b/>
          <w:color w:val="FF0000"/>
        </w:rPr>
        <w:t>Venture capitalists</w:t>
      </w:r>
    </w:p>
    <w:p w:rsidR="002701FB" w:rsidRPr="008256ED" w:rsidRDefault="002701FB" w:rsidP="005B4EB3">
      <w:pPr>
        <w:pStyle w:val="Heading4"/>
      </w:pPr>
    </w:p>
    <w:p w:rsidR="002701FB" w:rsidRPr="008256ED" w:rsidRDefault="002701FB" w:rsidP="005B4EB3">
      <w:pPr>
        <w:rPr>
          <w:b/>
        </w:rPr>
      </w:pPr>
      <w:r w:rsidRPr="008256ED">
        <w:rPr>
          <w:b/>
        </w:rPr>
        <w:t xml:space="preserve">An </w:t>
      </w:r>
      <w:r w:rsidRPr="008256ED">
        <w:rPr>
          <w:b/>
          <w:u w:val="single"/>
        </w:rPr>
        <w:t>offer for sale</w:t>
      </w:r>
      <w:r w:rsidRPr="008256ED">
        <w:rPr>
          <w:b/>
        </w:rPr>
        <w:t>/</w:t>
      </w:r>
      <w:r w:rsidRPr="008256ED">
        <w:rPr>
          <w:b/>
          <w:u w:val="single"/>
        </w:rPr>
        <w:t>placing</w:t>
      </w:r>
      <w:r w:rsidRPr="008256ED">
        <w:rPr>
          <w:b/>
        </w:rPr>
        <w:t xml:space="preserve"> is a share-issuing method that involves offering the shares to a selected base of investors following private negotiations.</w:t>
      </w:r>
    </w:p>
    <w:p w:rsidR="002701FB" w:rsidRPr="00D311E4" w:rsidRDefault="002701FB" w:rsidP="005B4EB3">
      <w:pPr>
        <w:ind w:left="720"/>
        <w:rPr>
          <w:b/>
          <w:color w:val="FF0000"/>
        </w:rPr>
      </w:pPr>
      <w:proofErr w:type="gramStart"/>
      <w:r w:rsidRPr="00D311E4">
        <w:rPr>
          <w:b/>
          <w:color w:val="FF0000"/>
        </w:rPr>
        <w:t>placing</w:t>
      </w:r>
      <w:proofErr w:type="gramEnd"/>
    </w:p>
    <w:p w:rsidR="002701FB" w:rsidRPr="008256ED" w:rsidRDefault="002701FB" w:rsidP="005B4EB3">
      <w:pPr>
        <w:pStyle w:val="Heading4"/>
      </w:pPr>
    </w:p>
    <w:p w:rsidR="002701FB" w:rsidRPr="008256ED" w:rsidRDefault="002701FB" w:rsidP="005B4EB3">
      <w:pPr>
        <w:rPr>
          <w:b/>
        </w:rPr>
      </w:pPr>
      <w:r w:rsidRPr="008256ED">
        <w:rPr>
          <w:b/>
        </w:rPr>
        <w:t xml:space="preserve">A </w:t>
      </w:r>
      <w:r w:rsidRPr="008256ED">
        <w:rPr>
          <w:b/>
          <w:u w:val="single"/>
        </w:rPr>
        <w:t>market</w:t>
      </w:r>
      <w:r w:rsidRPr="008256ED">
        <w:rPr>
          <w:b/>
        </w:rPr>
        <w:t>/</w:t>
      </w:r>
      <w:r w:rsidRPr="008256ED">
        <w:rPr>
          <w:b/>
          <w:u w:val="single"/>
        </w:rPr>
        <w:t>limit</w:t>
      </w:r>
      <w:r w:rsidRPr="008256ED">
        <w:rPr>
          <w:b/>
        </w:rPr>
        <w:t xml:space="preserve"> order is an order to buy or a sell a specified number of shares to be executed immediately at any price but at a stipulated volume.</w:t>
      </w:r>
    </w:p>
    <w:p w:rsidR="002701FB" w:rsidRPr="00D311E4" w:rsidRDefault="002701FB" w:rsidP="005B4EB3">
      <w:pPr>
        <w:ind w:left="720"/>
        <w:rPr>
          <w:b/>
          <w:color w:val="FF0000"/>
        </w:rPr>
      </w:pPr>
      <w:proofErr w:type="gramStart"/>
      <w:r w:rsidRPr="00D311E4">
        <w:rPr>
          <w:b/>
          <w:color w:val="FF0000"/>
        </w:rPr>
        <w:t>market</w:t>
      </w:r>
      <w:proofErr w:type="gramEnd"/>
    </w:p>
    <w:p w:rsidR="002701FB" w:rsidRPr="008256ED" w:rsidRDefault="002701FB" w:rsidP="005B4EB3">
      <w:pPr>
        <w:pStyle w:val="Heading4"/>
      </w:pPr>
    </w:p>
    <w:p w:rsidR="002701FB" w:rsidRPr="008256ED" w:rsidRDefault="002701FB" w:rsidP="005B4EB3">
      <w:pPr>
        <w:rPr>
          <w:b/>
        </w:rPr>
      </w:pPr>
      <w:r w:rsidRPr="008256ED">
        <w:rPr>
          <w:b/>
        </w:rPr>
        <w:t xml:space="preserve">If an investor enters into a short sale, he or she believes that the price of the share will </w:t>
      </w:r>
      <w:r w:rsidRPr="008256ED">
        <w:rPr>
          <w:b/>
          <w:u w:val="single"/>
        </w:rPr>
        <w:t>fall</w:t>
      </w:r>
      <w:r w:rsidRPr="008256ED">
        <w:rPr>
          <w:b/>
        </w:rPr>
        <w:t>/</w:t>
      </w:r>
      <w:r w:rsidRPr="008256ED">
        <w:rPr>
          <w:b/>
          <w:u w:val="single"/>
        </w:rPr>
        <w:t>rise</w:t>
      </w:r>
      <w:r w:rsidRPr="008256ED">
        <w:rPr>
          <w:b/>
        </w:rPr>
        <w:t>.</w:t>
      </w:r>
    </w:p>
    <w:p w:rsidR="002701FB" w:rsidRPr="00D311E4" w:rsidRDefault="002701FB" w:rsidP="005B4EB3">
      <w:pPr>
        <w:ind w:left="720"/>
        <w:rPr>
          <w:b/>
          <w:color w:val="FF0000"/>
        </w:rPr>
      </w:pPr>
      <w:proofErr w:type="gramStart"/>
      <w:r w:rsidRPr="00D311E4">
        <w:rPr>
          <w:b/>
          <w:color w:val="FF0000"/>
        </w:rPr>
        <w:t>fall</w:t>
      </w:r>
      <w:proofErr w:type="gramEnd"/>
    </w:p>
    <w:p w:rsidR="002701FB" w:rsidRDefault="002701FB" w:rsidP="005B4EB3"/>
    <w:p w:rsidR="002701FB" w:rsidRDefault="002701FB" w:rsidP="005B4EB3"/>
    <w:p w:rsidR="002701FB" w:rsidRDefault="002701FB" w:rsidP="00D624AD">
      <w:pPr>
        <w:pStyle w:val="Heading2"/>
        <w:sectPr w:rsidR="002701FB" w:rsidSect="00377310">
          <w:type w:val="continuous"/>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F01D2" w:rsidRDefault="00EF01D2"/>
    <w:sectPr w:rsidR="00EF01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477" w:rsidRDefault="005D5477">
      <w:pPr>
        <w:spacing w:after="0" w:line="240" w:lineRule="auto"/>
      </w:pPr>
      <w:r>
        <w:separator/>
      </w:r>
    </w:p>
  </w:endnote>
  <w:endnote w:type="continuationSeparator" w:id="0">
    <w:p w:rsidR="005D5477" w:rsidRDefault="005D5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4AD" w:rsidRPr="00D624AD" w:rsidRDefault="00D624AD">
    <w:pPr>
      <w:pStyle w:val="Footer"/>
      <w:rPr>
        <w:lang w:val="en-ZA"/>
      </w:rPr>
    </w:pPr>
    <w:r>
      <w:rPr>
        <w:lang w:val="en-ZA"/>
      </w:rPr>
      <w:t>© VAN SCHAIK PUBLISHERS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9C" w:rsidRPr="00D624AD" w:rsidRDefault="00D624AD" w:rsidP="002E0328">
    <w:pPr>
      <w:pStyle w:val="Footer"/>
      <w:rPr>
        <w:lang w:val="en-ZA"/>
      </w:rPr>
    </w:pPr>
    <w:r>
      <w:rPr>
        <w:lang w:val="en-ZA"/>
      </w:rPr>
      <w:t>© VAN SCHAIK PUBLISHERS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477" w:rsidRDefault="005D5477">
      <w:pPr>
        <w:spacing w:after="0" w:line="240" w:lineRule="auto"/>
      </w:pPr>
      <w:r>
        <w:separator/>
      </w:r>
    </w:p>
  </w:footnote>
  <w:footnote w:type="continuationSeparator" w:id="0">
    <w:p w:rsidR="005D5477" w:rsidRDefault="005D54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578"/>
    <w:multiLevelType w:val="hybridMultilevel"/>
    <w:tmpl w:val="37062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12B5"/>
    <w:multiLevelType w:val="hybridMultilevel"/>
    <w:tmpl w:val="C1A6A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A6946"/>
    <w:multiLevelType w:val="hybridMultilevel"/>
    <w:tmpl w:val="A4A00020"/>
    <w:lvl w:ilvl="0" w:tplc="CA84D342">
      <w:start w:val="1"/>
      <w:numFmt w:val="upperLetter"/>
      <w:lvlText w:val="%1."/>
      <w:lvlJc w:val="left"/>
      <w:pPr>
        <w:ind w:left="720" w:hanging="360"/>
      </w:pPr>
    </w:lvl>
    <w:lvl w:ilvl="1" w:tplc="3E780592" w:tentative="1">
      <w:start w:val="1"/>
      <w:numFmt w:val="lowerLetter"/>
      <w:lvlText w:val="%2."/>
      <w:lvlJc w:val="left"/>
      <w:pPr>
        <w:ind w:left="1440" w:hanging="360"/>
      </w:pPr>
    </w:lvl>
    <w:lvl w:ilvl="2" w:tplc="35B6EED0" w:tentative="1">
      <w:start w:val="1"/>
      <w:numFmt w:val="lowerRoman"/>
      <w:lvlText w:val="%3."/>
      <w:lvlJc w:val="right"/>
      <w:pPr>
        <w:ind w:left="2160" w:hanging="180"/>
      </w:pPr>
    </w:lvl>
    <w:lvl w:ilvl="3" w:tplc="34DAD790" w:tentative="1">
      <w:start w:val="1"/>
      <w:numFmt w:val="decimal"/>
      <w:lvlText w:val="%4."/>
      <w:lvlJc w:val="left"/>
      <w:pPr>
        <w:ind w:left="2880" w:hanging="360"/>
      </w:pPr>
    </w:lvl>
    <w:lvl w:ilvl="4" w:tplc="347005EE" w:tentative="1">
      <w:start w:val="1"/>
      <w:numFmt w:val="lowerLetter"/>
      <w:lvlText w:val="%5."/>
      <w:lvlJc w:val="left"/>
      <w:pPr>
        <w:ind w:left="3600" w:hanging="360"/>
      </w:pPr>
    </w:lvl>
    <w:lvl w:ilvl="5" w:tplc="FEACD09A" w:tentative="1">
      <w:start w:val="1"/>
      <w:numFmt w:val="lowerRoman"/>
      <w:lvlText w:val="%6."/>
      <w:lvlJc w:val="right"/>
      <w:pPr>
        <w:ind w:left="4320" w:hanging="180"/>
      </w:pPr>
    </w:lvl>
    <w:lvl w:ilvl="6" w:tplc="2468371C" w:tentative="1">
      <w:start w:val="1"/>
      <w:numFmt w:val="decimal"/>
      <w:lvlText w:val="%7."/>
      <w:lvlJc w:val="left"/>
      <w:pPr>
        <w:ind w:left="5040" w:hanging="360"/>
      </w:pPr>
    </w:lvl>
    <w:lvl w:ilvl="7" w:tplc="B9BE350E" w:tentative="1">
      <w:start w:val="1"/>
      <w:numFmt w:val="lowerLetter"/>
      <w:lvlText w:val="%8."/>
      <w:lvlJc w:val="left"/>
      <w:pPr>
        <w:ind w:left="5760" w:hanging="360"/>
      </w:pPr>
    </w:lvl>
    <w:lvl w:ilvl="8" w:tplc="C7E2DDBC" w:tentative="1">
      <w:start w:val="1"/>
      <w:numFmt w:val="lowerRoman"/>
      <w:lvlText w:val="%9."/>
      <w:lvlJc w:val="right"/>
      <w:pPr>
        <w:ind w:left="6480" w:hanging="180"/>
      </w:pPr>
    </w:lvl>
  </w:abstractNum>
  <w:abstractNum w:abstractNumId="3">
    <w:nsid w:val="0ECF4BBB"/>
    <w:multiLevelType w:val="hybridMultilevel"/>
    <w:tmpl w:val="C1A6A5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B404EA"/>
    <w:multiLevelType w:val="hybridMultilevel"/>
    <w:tmpl w:val="562AF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53769"/>
    <w:multiLevelType w:val="hybridMultilevel"/>
    <w:tmpl w:val="57BE6DA2"/>
    <w:lvl w:ilvl="0" w:tplc="1C090017">
      <w:start w:val="1"/>
      <w:numFmt w:val="lowerLetter"/>
      <w:pStyle w:val="ListParagraph"/>
      <w:lvlText w:val="%1)"/>
      <w:lvlJc w:val="left"/>
      <w:pPr>
        <w:ind w:left="1800" w:hanging="360"/>
      </w:pPr>
    </w:lvl>
    <w:lvl w:ilvl="1" w:tplc="04090019">
      <w:start w:val="1"/>
      <w:numFmt w:val="lowerLetter"/>
      <w:lvlText w:val="%2."/>
      <w:lvlJc w:val="left"/>
      <w:pPr>
        <w:ind w:left="689" w:hanging="360"/>
      </w:pPr>
    </w:lvl>
    <w:lvl w:ilvl="2" w:tplc="0409001B">
      <w:start w:val="1"/>
      <w:numFmt w:val="lowerRoman"/>
      <w:lvlText w:val="%3."/>
      <w:lvlJc w:val="right"/>
      <w:pPr>
        <w:ind w:left="1409" w:hanging="180"/>
      </w:pPr>
    </w:lvl>
    <w:lvl w:ilvl="3" w:tplc="1C09001B">
      <w:start w:val="1"/>
      <w:numFmt w:val="lowerRoman"/>
      <w:lvlText w:val="%4."/>
      <w:lvlJc w:val="right"/>
      <w:pPr>
        <w:ind w:left="2129" w:hanging="360"/>
      </w:pPr>
    </w:lvl>
    <w:lvl w:ilvl="4" w:tplc="1C09001B">
      <w:start w:val="1"/>
      <w:numFmt w:val="lowerRoman"/>
      <w:lvlText w:val="%5."/>
      <w:lvlJc w:val="right"/>
      <w:pPr>
        <w:ind w:left="2849" w:hanging="360"/>
      </w:pPr>
    </w:lvl>
    <w:lvl w:ilvl="5" w:tplc="0409001B" w:tentative="1">
      <w:start w:val="1"/>
      <w:numFmt w:val="lowerRoman"/>
      <w:lvlText w:val="%6."/>
      <w:lvlJc w:val="right"/>
      <w:pPr>
        <w:ind w:left="3569" w:hanging="180"/>
      </w:pPr>
    </w:lvl>
    <w:lvl w:ilvl="6" w:tplc="0409000F" w:tentative="1">
      <w:start w:val="1"/>
      <w:numFmt w:val="decimal"/>
      <w:lvlText w:val="%7."/>
      <w:lvlJc w:val="left"/>
      <w:pPr>
        <w:ind w:left="4289" w:hanging="360"/>
      </w:pPr>
    </w:lvl>
    <w:lvl w:ilvl="7" w:tplc="04090019" w:tentative="1">
      <w:start w:val="1"/>
      <w:numFmt w:val="lowerLetter"/>
      <w:lvlText w:val="%8."/>
      <w:lvlJc w:val="left"/>
      <w:pPr>
        <w:ind w:left="5009" w:hanging="360"/>
      </w:pPr>
    </w:lvl>
    <w:lvl w:ilvl="8" w:tplc="0409001B" w:tentative="1">
      <w:start w:val="1"/>
      <w:numFmt w:val="lowerRoman"/>
      <w:lvlText w:val="%9."/>
      <w:lvlJc w:val="right"/>
      <w:pPr>
        <w:ind w:left="5729" w:hanging="180"/>
      </w:pPr>
    </w:lvl>
  </w:abstractNum>
  <w:abstractNum w:abstractNumId="6">
    <w:nsid w:val="1B98535F"/>
    <w:multiLevelType w:val="multilevel"/>
    <w:tmpl w:val="FE5CD1E8"/>
    <w:styleLink w:val="Style2"/>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D661937"/>
    <w:multiLevelType w:val="hybridMultilevel"/>
    <w:tmpl w:val="37062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928BB"/>
    <w:multiLevelType w:val="hybridMultilevel"/>
    <w:tmpl w:val="7E3EB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D1D9A"/>
    <w:multiLevelType w:val="multilevel"/>
    <w:tmpl w:val="FE5CD1E8"/>
    <w:numStyleLink w:val="Style2"/>
  </w:abstractNum>
  <w:abstractNum w:abstractNumId="10">
    <w:nsid w:val="32290CE9"/>
    <w:multiLevelType w:val="hybridMultilevel"/>
    <w:tmpl w:val="E6641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EA46C8"/>
    <w:multiLevelType w:val="hybridMultilevel"/>
    <w:tmpl w:val="6172D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EF7E13"/>
    <w:multiLevelType w:val="multilevel"/>
    <w:tmpl w:val="1C09001D"/>
    <w:numStyleLink w:val="Style5"/>
  </w:abstractNum>
  <w:abstractNum w:abstractNumId="13">
    <w:nsid w:val="3DC4556C"/>
    <w:multiLevelType w:val="hybridMultilevel"/>
    <w:tmpl w:val="7E3EB3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982283"/>
    <w:multiLevelType w:val="multilevel"/>
    <w:tmpl w:val="BE5418F4"/>
    <w:lvl w:ilvl="0">
      <w:start w:val="1"/>
      <w:numFmt w:val="decimal"/>
      <w:pStyle w:val="Heading4"/>
      <w:suff w:val="space"/>
      <w:lvlText w:val="Question %1"/>
      <w:lvlJc w:val="left"/>
      <w:pPr>
        <w:ind w:left="0" w:firstLine="0"/>
      </w:pPr>
      <w:rPr>
        <w:rFonts w:hint="default"/>
        <w:b/>
        <w:bCs w:val="0"/>
        <w:i w:val="0"/>
        <w:iCs w:val="0"/>
        <w:caps w:val="0"/>
        <w:smallCaps w:val="0"/>
        <w:strike w:val="0"/>
        <w:dstrike w:val="0"/>
        <w:noProof w:val="0"/>
        <w:vanish w:val="0"/>
        <w:color w:val="000000"/>
        <w:spacing w:val="0"/>
        <w:kern w:val="0"/>
        <w:position w:val="0"/>
        <w:sz w:val="28"/>
        <w:u w:val="none"/>
        <w:effect w:val="none"/>
        <w:vertAlign w:val="baseline"/>
        <w:em w:val="none"/>
        <w:specVanish w:val="0"/>
      </w:rPr>
    </w:lvl>
    <w:lvl w:ilvl="1">
      <w:start w:val="1"/>
      <w:numFmt w:val="decimal"/>
      <w:lvlText w:val="%1.%2"/>
      <w:lvlJc w:val="left"/>
      <w:pPr>
        <w:tabs>
          <w:tab w:val="num" w:pos="-1361"/>
        </w:tabs>
        <w:ind w:left="-5104" w:firstLine="0"/>
      </w:pPr>
      <w:rPr>
        <w:rFonts w:ascii="Calibri" w:hAnsi="Calibri" w:cs="Times New Roman" w:hint="default"/>
        <w:b/>
        <w:i w:val="0"/>
        <w:color w:val="auto"/>
        <w:sz w:val="24"/>
      </w:rPr>
    </w:lvl>
    <w:lvl w:ilvl="2">
      <w:start w:val="1"/>
      <w:numFmt w:val="decimal"/>
      <w:lvlText w:val="%1.%2.%3"/>
      <w:lvlJc w:val="left"/>
      <w:pPr>
        <w:tabs>
          <w:tab w:val="num" w:pos="-1361"/>
        </w:tabs>
        <w:ind w:left="-5104" w:firstLine="0"/>
      </w:pPr>
      <w:rPr>
        <w:rFonts w:ascii="Calibri" w:hAnsi="Calibri" w:cs="Times New Roman" w:hint="default"/>
        <w:b/>
        <w:i w:val="0"/>
        <w:color w:val="auto"/>
        <w:sz w:val="22"/>
      </w:rPr>
    </w:lvl>
    <w:lvl w:ilvl="3">
      <w:start w:val="1"/>
      <w:numFmt w:val="decimal"/>
      <w:lvlText w:val="%1.%2.%3.%4"/>
      <w:lvlJc w:val="left"/>
      <w:pPr>
        <w:tabs>
          <w:tab w:val="num" w:pos="-1361"/>
        </w:tabs>
        <w:ind w:left="-5104" w:firstLine="0"/>
      </w:pPr>
      <w:rPr>
        <w:rFonts w:ascii="Calibri" w:hAnsi="Calibri" w:cs="Times New Roman" w:hint="default"/>
        <w:b/>
        <w:i/>
        <w:color w:val="0D0D0D"/>
        <w:sz w:val="22"/>
      </w:rPr>
    </w:lvl>
    <w:lvl w:ilvl="4">
      <w:start w:val="1"/>
      <w:numFmt w:val="none"/>
      <w:lvlText w:val=""/>
      <w:lvlJc w:val="left"/>
      <w:pPr>
        <w:tabs>
          <w:tab w:val="num" w:pos="-1361"/>
        </w:tabs>
        <w:ind w:left="-5104" w:firstLine="0"/>
      </w:pPr>
      <w:rPr>
        <w:rFonts w:ascii="Calibri" w:hAnsi="Calibri" w:cs="Times New Roman" w:hint="default"/>
        <w:b w:val="0"/>
        <w:i w:val="0"/>
        <w:color w:val="auto"/>
        <w:sz w:val="22"/>
      </w:rPr>
    </w:lvl>
    <w:lvl w:ilvl="5">
      <w:start w:val="1"/>
      <w:numFmt w:val="lowerRoman"/>
      <w:lvlText w:val="(%6)"/>
      <w:lvlJc w:val="left"/>
      <w:pPr>
        <w:tabs>
          <w:tab w:val="num" w:pos="-1361"/>
        </w:tabs>
        <w:ind w:left="-5104" w:firstLine="0"/>
      </w:pPr>
      <w:rPr>
        <w:rFonts w:cs="Times New Roman" w:hint="default"/>
      </w:rPr>
    </w:lvl>
    <w:lvl w:ilvl="6">
      <w:start w:val="1"/>
      <w:numFmt w:val="decimal"/>
      <w:lvlText w:val="%7."/>
      <w:lvlJc w:val="left"/>
      <w:pPr>
        <w:tabs>
          <w:tab w:val="num" w:pos="-1361"/>
        </w:tabs>
        <w:ind w:left="-5104" w:firstLine="0"/>
      </w:pPr>
      <w:rPr>
        <w:rFonts w:cs="Times New Roman" w:hint="default"/>
      </w:rPr>
    </w:lvl>
    <w:lvl w:ilvl="7">
      <w:start w:val="1"/>
      <w:numFmt w:val="lowerLetter"/>
      <w:lvlText w:val="%8."/>
      <w:lvlJc w:val="left"/>
      <w:pPr>
        <w:tabs>
          <w:tab w:val="num" w:pos="-1361"/>
        </w:tabs>
        <w:ind w:left="-5104" w:firstLine="0"/>
      </w:pPr>
      <w:rPr>
        <w:rFonts w:cs="Times New Roman" w:hint="default"/>
      </w:rPr>
    </w:lvl>
    <w:lvl w:ilvl="8">
      <w:start w:val="1"/>
      <w:numFmt w:val="lowerRoman"/>
      <w:lvlText w:val="%9."/>
      <w:lvlJc w:val="left"/>
      <w:pPr>
        <w:tabs>
          <w:tab w:val="num" w:pos="-1361"/>
        </w:tabs>
        <w:ind w:left="-5104" w:firstLine="0"/>
      </w:pPr>
      <w:rPr>
        <w:rFonts w:cs="Times New Roman" w:hint="default"/>
      </w:rPr>
    </w:lvl>
  </w:abstractNum>
  <w:abstractNum w:abstractNumId="15">
    <w:nsid w:val="4E1B152D"/>
    <w:multiLevelType w:val="multilevel"/>
    <w:tmpl w:val="1C09001D"/>
    <w:styleLink w:val="Style5"/>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6">
    <w:nsid w:val="511730BD"/>
    <w:multiLevelType w:val="hybridMultilevel"/>
    <w:tmpl w:val="15583E64"/>
    <w:lvl w:ilvl="0" w:tplc="EABCACF4">
      <w:start w:val="1"/>
      <w:numFmt w:val="upperLetter"/>
      <w:lvlText w:val="%1."/>
      <w:lvlJc w:val="left"/>
      <w:pPr>
        <w:ind w:left="720" w:hanging="360"/>
      </w:pPr>
    </w:lvl>
    <w:lvl w:ilvl="1" w:tplc="BE4CF726">
      <w:start w:val="1"/>
      <w:numFmt w:val="lowerLetter"/>
      <w:lvlText w:val="%2."/>
      <w:lvlJc w:val="left"/>
      <w:pPr>
        <w:ind w:left="1440" w:hanging="360"/>
      </w:pPr>
    </w:lvl>
    <w:lvl w:ilvl="2" w:tplc="2B746378">
      <w:start w:val="1"/>
      <w:numFmt w:val="lowerRoman"/>
      <w:lvlText w:val="%3."/>
      <w:lvlJc w:val="right"/>
      <w:pPr>
        <w:ind w:left="2160" w:hanging="180"/>
      </w:pPr>
    </w:lvl>
    <w:lvl w:ilvl="3" w:tplc="829C08D4">
      <w:start w:val="1"/>
      <w:numFmt w:val="decimal"/>
      <w:lvlText w:val="%4."/>
      <w:lvlJc w:val="left"/>
      <w:pPr>
        <w:ind w:left="2880" w:hanging="360"/>
      </w:pPr>
    </w:lvl>
    <w:lvl w:ilvl="4" w:tplc="093A51B2">
      <w:start w:val="1"/>
      <w:numFmt w:val="lowerLetter"/>
      <w:lvlText w:val="%5."/>
      <w:lvlJc w:val="left"/>
      <w:pPr>
        <w:ind w:left="3600" w:hanging="360"/>
      </w:pPr>
    </w:lvl>
    <w:lvl w:ilvl="5" w:tplc="886C1110">
      <w:start w:val="1"/>
      <w:numFmt w:val="lowerRoman"/>
      <w:lvlText w:val="%6."/>
      <w:lvlJc w:val="right"/>
      <w:pPr>
        <w:ind w:left="4320" w:hanging="180"/>
      </w:pPr>
    </w:lvl>
    <w:lvl w:ilvl="6" w:tplc="DFA2023E" w:tentative="1">
      <w:start w:val="1"/>
      <w:numFmt w:val="decimal"/>
      <w:lvlText w:val="%7."/>
      <w:lvlJc w:val="left"/>
      <w:pPr>
        <w:ind w:left="5040" w:hanging="360"/>
      </w:pPr>
    </w:lvl>
    <w:lvl w:ilvl="7" w:tplc="56706806" w:tentative="1">
      <w:start w:val="1"/>
      <w:numFmt w:val="lowerLetter"/>
      <w:lvlText w:val="%8."/>
      <w:lvlJc w:val="left"/>
      <w:pPr>
        <w:ind w:left="5760" w:hanging="360"/>
      </w:pPr>
    </w:lvl>
    <w:lvl w:ilvl="8" w:tplc="1214C69C" w:tentative="1">
      <w:start w:val="1"/>
      <w:numFmt w:val="lowerRoman"/>
      <w:lvlText w:val="%9."/>
      <w:lvlJc w:val="right"/>
      <w:pPr>
        <w:ind w:left="6480" w:hanging="180"/>
      </w:pPr>
    </w:lvl>
  </w:abstractNum>
  <w:abstractNum w:abstractNumId="17">
    <w:nsid w:val="553345ED"/>
    <w:multiLevelType w:val="multilevel"/>
    <w:tmpl w:val="CA86FCA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18">
    <w:nsid w:val="55E3377F"/>
    <w:multiLevelType w:val="hybridMultilevel"/>
    <w:tmpl w:val="61161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97E45"/>
    <w:multiLevelType w:val="hybridMultilevel"/>
    <w:tmpl w:val="E6641B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3B5962"/>
    <w:multiLevelType w:val="hybridMultilevel"/>
    <w:tmpl w:val="8D30D702"/>
    <w:lvl w:ilvl="0" w:tplc="02C23D4E">
      <w:start w:val="1"/>
      <w:numFmt w:val="upperLetter"/>
      <w:lvlText w:val="%1."/>
      <w:lvlJc w:val="left"/>
      <w:pPr>
        <w:ind w:left="720" w:hanging="360"/>
      </w:pPr>
    </w:lvl>
    <w:lvl w:ilvl="1" w:tplc="3374321A" w:tentative="1">
      <w:start w:val="1"/>
      <w:numFmt w:val="lowerLetter"/>
      <w:lvlText w:val="%2."/>
      <w:lvlJc w:val="left"/>
      <w:pPr>
        <w:ind w:left="1440" w:hanging="360"/>
      </w:pPr>
    </w:lvl>
    <w:lvl w:ilvl="2" w:tplc="80A0D9EE" w:tentative="1">
      <w:start w:val="1"/>
      <w:numFmt w:val="lowerRoman"/>
      <w:lvlText w:val="%3."/>
      <w:lvlJc w:val="right"/>
      <w:pPr>
        <w:ind w:left="2160" w:hanging="180"/>
      </w:pPr>
    </w:lvl>
    <w:lvl w:ilvl="3" w:tplc="F97E15C2" w:tentative="1">
      <w:start w:val="1"/>
      <w:numFmt w:val="decimal"/>
      <w:lvlText w:val="%4."/>
      <w:lvlJc w:val="left"/>
      <w:pPr>
        <w:ind w:left="2880" w:hanging="360"/>
      </w:pPr>
    </w:lvl>
    <w:lvl w:ilvl="4" w:tplc="2D08097E" w:tentative="1">
      <w:start w:val="1"/>
      <w:numFmt w:val="lowerLetter"/>
      <w:lvlText w:val="%5."/>
      <w:lvlJc w:val="left"/>
      <w:pPr>
        <w:ind w:left="3600" w:hanging="360"/>
      </w:pPr>
    </w:lvl>
    <w:lvl w:ilvl="5" w:tplc="70E81816" w:tentative="1">
      <w:start w:val="1"/>
      <w:numFmt w:val="lowerRoman"/>
      <w:lvlText w:val="%6."/>
      <w:lvlJc w:val="right"/>
      <w:pPr>
        <w:ind w:left="4320" w:hanging="180"/>
      </w:pPr>
    </w:lvl>
    <w:lvl w:ilvl="6" w:tplc="826E5A18" w:tentative="1">
      <w:start w:val="1"/>
      <w:numFmt w:val="decimal"/>
      <w:lvlText w:val="%7."/>
      <w:lvlJc w:val="left"/>
      <w:pPr>
        <w:ind w:left="5040" w:hanging="360"/>
      </w:pPr>
    </w:lvl>
    <w:lvl w:ilvl="7" w:tplc="D8CEF3C4" w:tentative="1">
      <w:start w:val="1"/>
      <w:numFmt w:val="lowerLetter"/>
      <w:lvlText w:val="%8."/>
      <w:lvlJc w:val="left"/>
      <w:pPr>
        <w:ind w:left="5760" w:hanging="360"/>
      </w:pPr>
    </w:lvl>
    <w:lvl w:ilvl="8" w:tplc="6D52730C" w:tentative="1">
      <w:start w:val="1"/>
      <w:numFmt w:val="lowerRoman"/>
      <w:lvlText w:val="%9."/>
      <w:lvlJc w:val="right"/>
      <w:pPr>
        <w:ind w:left="6480" w:hanging="180"/>
      </w:pPr>
    </w:lvl>
  </w:abstractNum>
  <w:abstractNum w:abstractNumId="21">
    <w:nsid w:val="631449F4"/>
    <w:multiLevelType w:val="multilevel"/>
    <w:tmpl w:val="CA86FCA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cs="Times New Roman" w:hint="default"/>
      </w:rPr>
    </w:lvl>
    <w:lvl w:ilvl="2">
      <w:start w:val="1"/>
      <w:numFmt w:val="lowerRoman"/>
      <w:lvlText w:val="%3)"/>
      <w:lvlJc w:val="left"/>
      <w:pPr>
        <w:ind w:left="1440" w:hanging="360"/>
      </w:pPr>
      <w:rPr>
        <w:rFonts w:cs="Times New Roman" w:hint="default"/>
      </w:rPr>
    </w:lvl>
    <w:lvl w:ilvl="3">
      <w:start w:val="1"/>
      <w:numFmt w:val="decimal"/>
      <w:lvlText w:val="(%4)"/>
      <w:lvlJc w:val="left"/>
      <w:pPr>
        <w:ind w:left="1800" w:hanging="360"/>
      </w:pPr>
      <w:rPr>
        <w:rFonts w:cs="Times New Roman" w:hint="default"/>
      </w:rPr>
    </w:lvl>
    <w:lvl w:ilvl="4">
      <w:start w:val="1"/>
      <w:numFmt w:val="lowerLetter"/>
      <w:lvlText w:val="(%5)"/>
      <w:lvlJc w:val="left"/>
      <w:pPr>
        <w:ind w:left="2160" w:hanging="360"/>
      </w:pPr>
      <w:rPr>
        <w:rFonts w:cs="Times New Roman" w:hint="default"/>
      </w:rPr>
    </w:lvl>
    <w:lvl w:ilvl="5">
      <w:start w:val="1"/>
      <w:numFmt w:val="lowerRoman"/>
      <w:lvlText w:val="(%6)"/>
      <w:lvlJc w:val="left"/>
      <w:pPr>
        <w:ind w:left="2520" w:hanging="360"/>
      </w:pPr>
      <w:rPr>
        <w:rFonts w:cs="Times New Roman" w:hint="default"/>
      </w:rPr>
    </w:lvl>
    <w:lvl w:ilvl="6">
      <w:start w:val="1"/>
      <w:numFmt w:val="decimal"/>
      <w:lvlText w:val="%7."/>
      <w:lvlJc w:val="left"/>
      <w:pPr>
        <w:ind w:left="2880" w:hanging="360"/>
      </w:pPr>
      <w:rPr>
        <w:rFonts w:cs="Times New Roman" w:hint="default"/>
      </w:rPr>
    </w:lvl>
    <w:lvl w:ilvl="7">
      <w:start w:val="1"/>
      <w:numFmt w:val="lowerLetter"/>
      <w:lvlText w:val="%8."/>
      <w:lvlJc w:val="left"/>
      <w:pPr>
        <w:ind w:left="3240" w:hanging="360"/>
      </w:pPr>
      <w:rPr>
        <w:rFonts w:cs="Times New Roman" w:hint="default"/>
      </w:rPr>
    </w:lvl>
    <w:lvl w:ilvl="8">
      <w:start w:val="1"/>
      <w:numFmt w:val="lowerRoman"/>
      <w:lvlText w:val="%9."/>
      <w:lvlJc w:val="left"/>
      <w:pPr>
        <w:ind w:left="3600" w:hanging="360"/>
      </w:pPr>
      <w:rPr>
        <w:rFonts w:cs="Times New Roman" w:hint="default"/>
      </w:rPr>
    </w:lvl>
  </w:abstractNum>
  <w:abstractNum w:abstractNumId="22">
    <w:nsid w:val="662564B3"/>
    <w:multiLevelType w:val="multilevel"/>
    <w:tmpl w:val="FE5CD1E8"/>
    <w:lvl w:ilvl="0">
      <w:start w:val="1"/>
      <w:numFmt w:val="lowerRoman"/>
      <w:lvlText w:val="%1."/>
      <w:lvlJc w:val="left"/>
      <w:pPr>
        <w:ind w:left="567" w:hanging="567"/>
      </w:pPr>
      <w:rPr>
        <w:rFonts w:ascii="Calibri" w:hAnsi="Calibri" w:hint="default"/>
        <w:color w:val="auto"/>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6942577F"/>
    <w:multiLevelType w:val="hybridMultilevel"/>
    <w:tmpl w:val="15583E64"/>
    <w:lvl w:ilvl="0" w:tplc="EABCACF4">
      <w:start w:val="1"/>
      <w:numFmt w:val="upperLetter"/>
      <w:lvlText w:val="%1."/>
      <w:lvlJc w:val="left"/>
      <w:pPr>
        <w:ind w:left="720" w:hanging="360"/>
      </w:pPr>
    </w:lvl>
    <w:lvl w:ilvl="1" w:tplc="BE4CF726">
      <w:start w:val="1"/>
      <w:numFmt w:val="lowerLetter"/>
      <w:lvlText w:val="%2."/>
      <w:lvlJc w:val="left"/>
      <w:pPr>
        <w:ind w:left="1440" w:hanging="360"/>
      </w:pPr>
    </w:lvl>
    <w:lvl w:ilvl="2" w:tplc="2B746378">
      <w:start w:val="1"/>
      <w:numFmt w:val="lowerRoman"/>
      <w:lvlText w:val="%3."/>
      <w:lvlJc w:val="right"/>
      <w:pPr>
        <w:ind w:left="2160" w:hanging="180"/>
      </w:pPr>
    </w:lvl>
    <w:lvl w:ilvl="3" w:tplc="829C08D4">
      <w:start w:val="1"/>
      <w:numFmt w:val="decimal"/>
      <w:lvlText w:val="%4."/>
      <w:lvlJc w:val="left"/>
      <w:pPr>
        <w:ind w:left="2880" w:hanging="360"/>
      </w:pPr>
    </w:lvl>
    <w:lvl w:ilvl="4" w:tplc="093A51B2">
      <w:start w:val="1"/>
      <w:numFmt w:val="lowerLetter"/>
      <w:lvlText w:val="%5."/>
      <w:lvlJc w:val="left"/>
      <w:pPr>
        <w:ind w:left="3600" w:hanging="360"/>
      </w:pPr>
    </w:lvl>
    <w:lvl w:ilvl="5" w:tplc="886C1110">
      <w:start w:val="1"/>
      <w:numFmt w:val="lowerRoman"/>
      <w:lvlText w:val="%6."/>
      <w:lvlJc w:val="right"/>
      <w:pPr>
        <w:ind w:left="4320" w:hanging="180"/>
      </w:pPr>
    </w:lvl>
    <w:lvl w:ilvl="6" w:tplc="DFA2023E" w:tentative="1">
      <w:start w:val="1"/>
      <w:numFmt w:val="decimal"/>
      <w:lvlText w:val="%7."/>
      <w:lvlJc w:val="left"/>
      <w:pPr>
        <w:ind w:left="5040" w:hanging="360"/>
      </w:pPr>
    </w:lvl>
    <w:lvl w:ilvl="7" w:tplc="56706806" w:tentative="1">
      <w:start w:val="1"/>
      <w:numFmt w:val="lowerLetter"/>
      <w:lvlText w:val="%8."/>
      <w:lvlJc w:val="left"/>
      <w:pPr>
        <w:ind w:left="5760" w:hanging="360"/>
      </w:pPr>
    </w:lvl>
    <w:lvl w:ilvl="8" w:tplc="1214C69C" w:tentative="1">
      <w:start w:val="1"/>
      <w:numFmt w:val="lowerRoman"/>
      <w:lvlText w:val="%9."/>
      <w:lvlJc w:val="right"/>
      <w:pPr>
        <w:ind w:left="6480" w:hanging="180"/>
      </w:pPr>
    </w:lvl>
  </w:abstractNum>
  <w:abstractNum w:abstractNumId="24">
    <w:nsid w:val="6B0C005E"/>
    <w:multiLevelType w:val="hybridMultilevel"/>
    <w:tmpl w:val="A4A00020"/>
    <w:lvl w:ilvl="0" w:tplc="CA84D342">
      <w:start w:val="1"/>
      <w:numFmt w:val="upperLetter"/>
      <w:lvlText w:val="%1."/>
      <w:lvlJc w:val="left"/>
      <w:pPr>
        <w:ind w:left="720" w:hanging="360"/>
      </w:pPr>
    </w:lvl>
    <w:lvl w:ilvl="1" w:tplc="3E780592" w:tentative="1">
      <w:start w:val="1"/>
      <w:numFmt w:val="lowerLetter"/>
      <w:lvlText w:val="%2."/>
      <w:lvlJc w:val="left"/>
      <w:pPr>
        <w:ind w:left="1440" w:hanging="360"/>
      </w:pPr>
    </w:lvl>
    <w:lvl w:ilvl="2" w:tplc="35B6EED0" w:tentative="1">
      <w:start w:val="1"/>
      <w:numFmt w:val="lowerRoman"/>
      <w:lvlText w:val="%3."/>
      <w:lvlJc w:val="right"/>
      <w:pPr>
        <w:ind w:left="2160" w:hanging="180"/>
      </w:pPr>
    </w:lvl>
    <w:lvl w:ilvl="3" w:tplc="34DAD790" w:tentative="1">
      <w:start w:val="1"/>
      <w:numFmt w:val="decimal"/>
      <w:lvlText w:val="%4."/>
      <w:lvlJc w:val="left"/>
      <w:pPr>
        <w:ind w:left="2880" w:hanging="360"/>
      </w:pPr>
    </w:lvl>
    <w:lvl w:ilvl="4" w:tplc="347005EE" w:tentative="1">
      <w:start w:val="1"/>
      <w:numFmt w:val="lowerLetter"/>
      <w:lvlText w:val="%5."/>
      <w:lvlJc w:val="left"/>
      <w:pPr>
        <w:ind w:left="3600" w:hanging="360"/>
      </w:pPr>
    </w:lvl>
    <w:lvl w:ilvl="5" w:tplc="FEACD09A" w:tentative="1">
      <w:start w:val="1"/>
      <w:numFmt w:val="lowerRoman"/>
      <w:lvlText w:val="%6."/>
      <w:lvlJc w:val="right"/>
      <w:pPr>
        <w:ind w:left="4320" w:hanging="180"/>
      </w:pPr>
    </w:lvl>
    <w:lvl w:ilvl="6" w:tplc="2468371C" w:tentative="1">
      <w:start w:val="1"/>
      <w:numFmt w:val="decimal"/>
      <w:lvlText w:val="%7."/>
      <w:lvlJc w:val="left"/>
      <w:pPr>
        <w:ind w:left="5040" w:hanging="360"/>
      </w:pPr>
    </w:lvl>
    <w:lvl w:ilvl="7" w:tplc="B9BE350E" w:tentative="1">
      <w:start w:val="1"/>
      <w:numFmt w:val="lowerLetter"/>
      <w:lvlText w:val="%8."/>
      <w:lvlJc w:val="left"/>
      <w:pPr>
        <w:ind w:left="5760" w:hanging="360"/>
      </w:pPr>
    </w:lvl>
    <w:lvl w:ilvl="8" w:tplc="C7E2DDBC" w:tentative="1">
      <w:start w:val="1"/>
      <w:numFmt w:val="lowerRoman"/>
      <w:lvlText w:val="%9."/>
      <w:lvlJc w:val="right"/>
      <w:pPr>
        <w:ind w:left="6480" w:hanging="180"/>
      </w:pPr>
    </w:lvl>
  </w:abstractNum>
  <w:abstractNum w:abstractNumId="25">
    <w:nsid w:val="6BCC4965"/>
    <w:multiLevelType w:val="hybridMultilevel"/>
    <w:tmpl w:val="8D30D702"/>
    <w:lvl w:ilvl="0" w:tplc="02C23D4E">
      <w:start w:val="1"/>
      <w:numFmt w:val="upperLetter"/>
      <w:lvlText w:val="%1."/>
      <w:lvlJc w:val="left"/>
      <w:pPr>
        <w:ind w:left="720" w:hanging="360"/>
      </w:pPr>
    </w:lvl>
    <w:lvl w:ilvl="1" w:tplc="3374321A" w:tentative="1">
      <w:start w:val="1"/>
      <w:numFmt w:val="lowerLetter"/>
      <w:lvlText w:val="%2."/>
      <w:lvlJc w:val="left"/>
      <w:pPr>
        <w:ind w:left="1440" w:hanging="360"/>
      </w:pPr>
    </w:lvl>
    <w:lvl w:ilvl="2" w:tplc="80A0D9EE" w:tentative="1">
      <w:start w:val="1"/>
      <w:numFmt w:val="lowerRoman"/>
      <w:lvlText w:val="%3."/>
      <w:lvlJc w:val="right"/>
      <w:pPr>
        <w:ind w:left="2160" w:hanging="180"/>
      </w:pPr>
    </w:lvl>
    <w:lvl w:ilvl="3" w:tplc="F97E15C2" w:tentative="1">
      <w:start w:val="1"/>
      <w:numFmt w:val="decimal"/>
      <w:lvlText w:val="%4."/>
      <w:lvlJc w:val="left"/>
      <w:pPr>
        <w:ind w:left="2880" w:hanging="360"/>
      </w:pPr>
    </w:lvl>
    <w:lvl w:ilvl="4" w:tplc="2D08097E" w:tentative="1">
      <w:start w:val="1"/>
      <w:numFmt w:val="lowerLetter"/>
      <w:lvlText w:val="%5."/>
      <w:lvlJc w:val="left"/>
      <w:pPr>
        <w:ind w:left="3600" w:hanging="360"/>
      </w:pPr>
    </w:lvl>
    <w:lvl w:ilvl="5" w:tplc="70E81816" w:tentative="1">
      <w:start w:val="1"/>
      <w:numFmt w:val="lowerRoman"/>
      <w:lvlText w:val="%6."/>
      <w:lvlJc w:val="right"/>
      <w:pPr>
        <w:ind w:left="4320" w:hanging="180"/>
      </w:pPr>
    </w:lvl>
    <w:lvl w:ilvl="6" w:tplc="826E5A18" w:tentative="1">
      <w:start w:val="1"/>
      <w:numFmt w:val="decimal"/>
      <w:lvlText w:val="%7."/>
      <w:lvlJc w:val="left"/>
      <w:pPr>
        <w:ind w:left="5040" w:hanging="360"/>
      </w:pPr>
    </w:lvl>
    <w:lvl w:ilvl="7" w:tplc="D8CEF3C4" w:tentative="1">
      <w:start w:val="1"/>
      <w:numFmt w:val="lowerLetter"/>
      <w:lvlText w:val="%8."/>
      <w:lvlJc w:val="left"/>
      <w:pPr>
        <w:ind w:left="5760" w:hanging="360"/>
      </w:pPr>
    </w:lvl>
    <w:lvl w:ilvl="8" w:tplc="6D52730C" w:tentative="1">
      <w:start w:val="1"/>
      <w:numFmt w:val="lowerRoman"/>
      <w:lvlText w:val="%9."/>
      <w:lvlJc w:val="right"/>
      <w:pPr>
        <w:ind w:left="6480" w:hanging="180"/>
      </w:pPr>
    </w:lvl>
  </w:abstractNum>
  <w:abstractNum w:abstractNumId="26">
    <w:nsid w:val="6FA42457"/>
    <w:multiLevelType w:val="hybridMultilevel"/>
    <w:tmpl w:val="6172D1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905034"/>
    <w:multiLevelType w:val="hybridMultilevel"/>
    <w:tmpl w:val="611613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B758A9"/>
    <w:multiLevelType w:val="hybridMultilevel"/>
    <w:tmpl w:val="562AF2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4"/>
  </w:num>
  <w:num w:numId="4">
    <w:abstractNumId w:val="15"/>
  </w:num>
  <w:num w:numId="5">
    <w:abstractNumId w:val="12"/>
  </w:num>
  <w:num w:numId="6">
    <w:abstractNumId w:val="17"/>
  </w:num>
  <w:num w:numId="7">
    <w:abstractNumId w:val="9"/>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27"/>
  </w:num>
  <w:num w:numId="15">
    <w:abstractNumId w:val="8"/>
  </w:num>
  <w:num w:numId="16">
    <w:abstractNumId w:val="16"/>
  </w:num>
  <w:num w:numId="17">
    <w:abstractNumId w:val="20"/>
  </w:num>
  <w:num w:numId="18">
    <w:abstractNumId w:val="4"/>
  </w:num>
  <w:num w:numId="19">
    <w:abstractNumId w:val="24"/>
  </w:num>
  <w:num w:numId="20">
    <w:abstractNumId w:val="11"/>
  </w:num>
  <w:num w:numId="21">
    <w:abstractNumId w:val="10"/>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0"/>
  </w:num>
  <w:num w:numId="26">
    <w:abstractNumId w:val="18"/>
  </w:num>
  <w:num w:numId="27">
    <w:abstractNumId w:val="13"/>
  </w:num>
  <w:num w:numId="28">
    <w:abstractNumId w:val="22"/>
  </w:num>
  <w:num w:numId="29">
    <w:abstractNumId w:val="23"/>
  </w:num>
  <w:num w:numId="30">
    <w:abstractNumId w:val="25"/>
  </w:num>
  <w:num w:numId="31">
    <w:abstractNumId w:val="28"/>
  </w:num>
  <w:num w:numId="32">
    <w:abstractNumId w:val="2"/>
  </w:num>
  <w:num w:numId="33">
    <w:abstractNumId w:val="26"/>
  </w:num>
  <w:num w:numId="34">
    <w:abstractNumId w:val="19"/>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1FB"/>
    <w:rsid w:val="00007052"/>
    <w:rsid w:val="002701FB"/>
    <w:rsid w:val="003F3439"/>
    <w:rsid w:val="00552941"/>
    <w:rsid w:val="005D5477"/>
    <w:rsid w:val="00A76BDD"/>
    <w:rsid w:val="00D624AD"/>
    <w:rsid w:val="00E95003"/>
    <w:rsid w:val="00EF01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D624AD"/>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2701FB"/>
    <w:pPr>
      <w:shd w:val="clear" w:color="auto" w:fill="D9D9D9" w:themeFill="background1" w:themeFillShade="D9"/>
      <w:spacing w:before="0"/>
      <w:outlineLvl w:val="1"/>
    </w:pPr>
  </w:style>
  <w:style w:type="paragraph" w:styleId="Heading3">
    <w:name w:val="heading 3"/>
    <w:basedOn w:val="Normal"/>
    <w:next w:val="Normal"/>
    <w:link w:val="Heading3Char"/>
    <w:qFormat/>
    <w:rsid w:val="002701FB"/>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2701FB"/>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4AD"/>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2701FB"/>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2701FB"/>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2701FB"/>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2701FB"/>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2701FB"/>
    <w:rPr>
      <w:rFonts w:eastAsia="Times New Roman" w:cs="Arial"/>
      <w:color w:val="000000"/>
      <w:lang w:eastAsia="en-US"/>
    </w:rPr>
  </w:style>
  <w:style w:type="numbering" w:customStyle="1" w:styleId="Style2">
    <w:name w:val="Style2"/>
    <w:rsid w:val="002701FB"/>
    <w:pPr>
      <w:numPr>
        <w:numId w:val="1"/>
      </w:numPr>
    </w:pPr>
  </w:style>
  <w:style w:type="paragraph" w:styleId="NoSpacing">
    <w:name w:val="No Spacing"/>
    <w:basedOn w:val="Normal"/>
    <w:qFormat/>
    <w:rsid w:val="0027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2701FB"/>
    <w:rPr>
      <w:color w:val="0000FF" w:themeColor="hyperlink"/>
      <w:u w:val="single"/>
    </w:rPr>
  </w:style>
  <w:style w:type="paragraph" w:styleId="Footer">
    <w:name w:val="footer"/>
    <w:basedOn w:val="Normal"/>
    <w:link w:val="FooterChar"/>
    <w:uiPriority w:val="99"/>
    <w:unhideWhenUsed/>
    <w:rsid w:val="002701FB"/>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2701FB"/>
    <w:rPr>
      <w:rFonts w:eastAsia="Times New Roman" w:cstheme="minorHAnsi"/>
      <w:color w:val="000000"/>
      <w:szCs w:val="24"/>
      <w:lang w:val="en-GB" w:eastAsia="en-US"/>
    </w:rPr>
  </w:style>
  <w:style w:type="numbering" w:customStyle="1" w:styleId="Style5">
    <w:name w:val="Style5"/>
    <w:rsid w:val="002701FB"/>
    <w:pPr>
      <w:numPr>
        <w:numId w:val="4"/>
      </w:numPr>
    </w:pPr>
  </w:style>
  <w:style w:type="paragraph" w:styleId="Header">
    <w:name w:val="header"/>
    <w:basedOn w:val="Normal"/>
    <w:link w:val="HeaderChar"/>
    <w:uiPriority w:val="99"/>
    <w:unhideWhenUsed/>
    <w:rsid w:val="00D62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4AD"/>
  </w:style>
  <w:style w:type="character" w:styleId="FollowedHyperlink">
    <w:name w:val="FollowedHyperlink"/>
    <w:basedOn w:val="DefaultParagraphFont"/>
    <w:uiPriority w:val="99"/>
    <w:semiHidden/>
    <w:unhideWhenUsed/>
    <w:rsid w:val="00D624AD"/>
    <w:rPr>
      <w:color w:val="800080" w:themeColor="followedHyperlink"/>
      <w:u w:val="single"/>
    </w:rPr>
  </w:style>
  <w:style w:type="paragraph" w:styleId="BalloonText">
    <w:name w:val="Balloon Text"/>
    <w:basedOn w:val="Normal"/>
    <w:link w:val="BalloonTextChar"/>
    <w:uiPriority w:val="99"/>
    <w:semiHidden/>
    <w:unhideWhenUsed/>
    <w:rsid w:val="00E9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D624AD"/>
    <w:pPr>
      <w:keepNext/>
      <w:shd w:val="clear" w:color="auto" w:fill="1F497D" w:themeFill="text2"/>
      <w:spacing w:before="120" w:after="0"/>
      <w:contextualSpacing/>
      <w:jc w:val="center"/>
      <w:outlineLvl w:val="0"/>
    </w:pPr>
    <w:rPr>
      <w:rFonts w:asciiTheme="majorHAnsi" w:eastAsia="Times New Roman" w:hAnsiTheme="majorHAnsi" w:cstheme="minorHAnsi"/>
      <w:b/>
      <w:bCs/>
      <w:smallCaps/>
      <w:color w:val="FFFFFF" w:themeColor="background1"/>
      <w:sz w:val="72"/>
      <w:szCs w:val="52"/>
      <w:lang w:val="en-GB" w:eastAsia="en-US"/>
    </w:rPr>
  </w:style>
  <w:style w:type="paragraph" w:styleId="Heading2">
    <w:name w:val="heading 2"/>
    <w:basedOn w:val="Heading1"/>
    <w:next w:val="Normal"/>
    <w:link w:val="Heading2Char"/>
    <w:qFormat/>
    <w:rsid w:val="002701FB"/>
    <w:pPr>
      <w:shd w:val="clear" w:color="auto" w:fill="D9D9D9" w:themeFill="background1" w:themeFillShade="D9"/>
      <w:spacing w:before="0"/>
      <w:outlineLvl w:val="1"/>
    </w:pPr>
  </w:style>
  <w:style w:type="paragraph" w:styleId="Heading3">
    <w:name w:val="heading 3"/>
    <w:basedOn w:val="Normal"/>
    <w:next w:val="Normal"/>
    <w:link w:val="Heading3Char"/>
    <w:qFormat/>
    <w:rsid w:val="002701FB"/>
    <w:pPr>
      <w:keepNext/>
      <w:pBdr>
        <w:top w:val="single" w:sz="4" w:space="1" w:color="auto"/>
        <w:bottom w:val="single" w:sz="4" w:space="1" w:color="auto"/>
      </w:pBdr>
      <w:shd w:val="clear" w:color="auto" w:fill="D9D9D9" w:themeFill="background1" w:themeFillShade="D9"/>
      <w:spacing w:before="240" w:after="120"/>
      <w:outlineLvl w:val="2"/>
    </w:pPr>
    <w:rPr>
      <w:rFonts w:eastAsia="Times New Roman" w:cstheme="minorHAnsi"/>
      <w:b/>
      <w:bCs/>
      <w:smallCaps/>
      <w:sz w:val="36"/>
      <w:szCs w:val="24"/>
      <w:lang w:val="en-GB" w:eastAsia="en-US"/>
    </w:rPr>
  </w:style>
  <w:style w:type="paragraph" w:styleId="Heading4">
    <w:name w:val="heading 4"/>
    <w:basedOn w:val="Normal"/>
    <w:next w:val="Normal"/>
    <w:link w:val="Heading4Char"/>
    <w:qFormat/>
    <w:rsid w:val="002701FB"/>
    <w:pPr>
      <w:keepNext/>
      <w:numPr>
        <w:numId w:val="3"/>
      </w:numPr>
      <w:pBdr>
        <w:bottom w:val="single" w:sz="4" w:space="1" w:color="auto"/>
      </w:pBdr>
      <w:spacing w:before="360" w:after="120"/>
      <w:outlineLvl w:val="3"/>
    </w:pPr>
    <w:rPr>
      <w:rFonts w:eastAsia="Times New Roman" w:cstheme="minorHAnsi"/>
      <w:b/>
      <w:bCs/>
      <w:color w:val="00000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4AD"/>
    <w:rPr>
      <w:rFonts w:asciiTheme="majorHAnsi" w:eastAsia="Times New Roman" w:hAnsiTheme="majorHAnsi" w:cstheme="minorHAnsi"/>
      <w:b/>
      <w:bCs/>
      <w:smallCaps/>
      <w:color w:val="FFFFFF" w:themeColor="background1"/>
      <w:sz w:val="72"/>
      <w:szCs w:val="52"/>
      <w:shd w:val="clear" w:color="auto" w:fill="1F497D" w:themeFill="text2"/>
      <w:lang w:val="en-GB" w:eastAsia="en-US"/>
    </w:rPr>
  </w:style>
  <w:style w:type="character" w:customStyle="1" w:styleId="Heading2Char">
    <w:name w:val="Heading 2 Char"/>
    <w:basedOn w:val="DefaultParagraphFont"/>
    <w:link w:val="Heading2"/>
    <w:rsid w:val="002701FB"/>
    <w:rPr>
      <w:rFonts w:asciiTheme="majorHAnsi" w:eastAsia="Times New Roman" w:hAnsiTheme="majorHAnsi" w:cstheme="minorHAnsi"/>
      <w:b/>
      <w:bCs/>
      <w:smallCaps/>
      <w:color w:val="000000"/>
      <w:sz w:val="44"/>
      <w:szCs w:val="52"/>
      <w:shd w:val="clear" w:color="auto" w:fill="D9D9D9" w:themeFill="background1" w:themeFillShade="D9"/>
      <w:lang w:val="en-GB" w:eastAsia="en-US"/>
    </w:rPr>
  </w:style>
  <w:style w:type="character" w:customStyle="1" w:styleId="Heading3Char">
    <w:name w:val="Heading 3 Char"/>
    <w:basedOn w:val="DefaultParagraphFont"/>
    <w:link w:val="Heading3"/>
    <w:rsid w:val="002701FB"/>
    <w:rPr>
      <w:rFonts w:eastAsia="Times New Roman" w:cstheme="minorHAnsi"/>
      <w:b/>
      <w:bCs/>
      <w:smallCaps/>
      <w:sz w:val="36"/>
      <w:szCs w:val="24"/>
      <w:shd w:val="clear" w:color="auto" w:fill="D9D9D9" w:themeFill="background1" w:themeFillShade="D9"/>
      <w:lang w:val="en-GB" w:eastAsia="en-US"/>
    </w:rPr>
  </w:style>
  <w:style w:type="character" w:customStyle="1" w:styleId="Heading4Char">
    <w:name w:val="Heading 4 Char"/>
    <w:basedOn w:val="DefaultParagraphFont"/>
    <w:link w:val="Heading4"/>
    <w:rsid w:val="002701FB"/>
    <w:rPr>
      <w:rFonts w:eastAsia="Times New Roman" w:cstheme="minorHAnsi"/>
      <w:b/>
      <w:bCs/>
      <w:color w:val="000000"/>
      <w:szCs w:val="24"/>
      <w:lang w:val="en-GB" w:eastAsia="en-US"/>
    </w:rPr>
  </w:style>
  <w:style w:type="paragraph" w:styleId="ListParagraph">
    <w:name w:val="List Paragraph"/>
    <w:basedOn w:val="Normal"/>
    <w:link w:val="ListParagraphChar"/>
    <w:uiPriority w:val="99"/>
    <w:qFormat/>
    <w:rsid w:val="002701FB"/>
    <w:pPr>
      <w:numPr>
        <w:numId w:val="2"/>
      </w:numPr>
      <w:spacing w:after="0" w:line="360" w:lineRule="auto"/>
      <w:contextualSpacing/>
    </w:pPr>
    <w:rPr>
      <w:rFonts w:eastAsia="Times New Roman" w:cs="Arial"/>
      <w:color w:val="000000"/>
      <w:lang w:eastAsia="en-US"/>
    </w:rPr>
  </w:style>
  <w:style w:type="character" w:customStyle="1" w:styleId="ListParagraphChar">
    <w:name w:val="List Paragraph Char"/>
    <w:link w:val="ListParagraph"/>
    <w:uiPriority w:val="99"/>
    <w:rsid w:val="002701FB"/>
    <w:rPr>
      <w:rFonts w:eastAsia="Times New Roman" w:cs="Arial"/>
      <w:color w:val="000000"/>
      <w:lang w:eastAsia="en-US"/>
    </w:rPr>
  </w:style>
  <w:style w:type="numbering" w:customStyle="1" w:styleId="Style2">
    <w:name w:val="Style2"/>
    <w:rsid w:val="002701FB"/>
    <w:pPr>
      <w:numPr>
        <w:numId w:val="1"/>
      </w:numPr>
    </w:pPr>
  </w:style>
  <w:style w:type="paragraph" w:styleId="NoSpacing">
    <w:name w:val="No Spacing"/>
    <w:basedOn w:val="Normal"/>
    <w:qFormat/>
    <w:rsid w:val="0027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contextualSpacing/>
      <w:jc w:val="both"/>
    </w:pPr>
    <w:rPr>
      <w:rFonts w:ascii="Calibri" w:eastAsia="Times New Roman" w:hAnsi="Calibri" w:cs="Courier New"/>
      <w:color w:val="000000"/>
      <w:szCs w:val="20"/>
      <w:lang w:val="en-GB"/>
    </w:rPr>
  </w:style>
  <w:style w:type="character" w:styleId="Hyperlink">
    <w:name w:val="Hyperlink"/>
    <w:basedOn w:val="DefaultParagraphFont"/>
    <w:uiPriority w:val="99"/>
    <w:unhideWhenUsed/>
    <w:rsid w:val="002701FB"/>
    <w:rPr>
      <w:color w:val="0000FF" w:themeColor="hyperlink"/>
      <w:u w:val="single"/>
    </w:rPr>
  </w:style>
  <w:style w:type="paragraph" w:styleId="Footer">
    <w:name w:val="footer"/>
    <w:basedOn w:val="Normal"/>
    <w:link w:val="FooterChar"/>
    <w:uiPriority w:val="99"/>
    <w:unhideWhenUsed/>
    <w:rsid w:val="002701FB"/>
    <w:pPr>
      <w:tabs>
        <w:tab w:val="center" w:pos="4680"/>
        <w:tab w:val="right" w:pos="9360"/>
      </w:tabs>
      <w:spacing w:after="0" w:line="240" w:lineRule="auto"/>
      <w:jc w:val="both"/>
    </w:pPr>
    <w:rPr>
      <w:rFonts w:eastAsia="Times New Roman" w:cstheme="minorHAnsi"/>
      <w:color w:val="000000"/>
      <w:szCs w:val="24"/>
      <w:lang w:val="en-GB" w:eastAsia="en-US"/>
    </w:rPr>
  </w:style>
  <w:style w:type="character" w:customStyle="1" w:styleId="FooterChar">
    <w:name w:val="Footer Char"/>
    <w:basedOn w:val="DefaultParagraphFont"/>
    <w:link w:val="Footer"/>
    <w:uiPriority w:val="99"/>
    <w:rsid w:val="002701FB"/>
    <w:rPr>
      <w:rFonts w:eastAsia="Times New Roman" w:cstheme="minorHAnsi"/>
      <w:color w:val="000000"/>
      <w:szCs w:val="24"/>
      <w:lang w:val="en-GB" w:eastAsia="en-US"/>
    </w:rPr>
  </w:style>
  <w:style w:type="numbering" w:customStyle="1" w:styleId="Style5">
    <w:name w:val="Style5"/>
    <w:rsid w:val="002701FB"/>
    <w:pPr>
      <w:numPr>
        <w:numId w:val="4"/>
      </w:numPr>
    </w:pPr>
  </w:style>
  <w:style w:type="paragraph" w:styleId="Header">
    <w:name w:val="header"/>
    <w:basedOn w:val="Normal"/>
    <w:link w:val="HeaderChar"/>
    <w:uiPriority w:val="99"/>
    <w:unhideWhenUsed/>
    <w:rsid w:val="00D624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4AD"/>
  </w:style>
  <w:style w:type="character" w:styleId="FollowedHyperlink">
    <w:name w:val="FollowedHyperlink"/>
    <w:basedOn w:val="DefaultParagraphFont"/>
    <w:uiPriority w:val="99"/>
    <w:semiHidden/>
    <w:unhideWhenUsed/>
    <w:rsid w:val="00D624AD"/>
    <w:rPr>
      <w:color w:val="800080" w:themeColor="followedHyperlink"/>
      <w:u w:val="single"/>
    </w:rPr>
  </w:style>
  <w:style w:type="paragraph" w:styleId="BalloonText">
    <w:name w:val="Balloon Text"/>
    <w:basedOn w:val="Normal"/>
    <w:link w:val="BalloonTextChar"/>
    <w:uiPriority w:val="99"/>
    <w:semiHidden/>
    <w:unhideWhenUsed/>
    <w:rsid w:val="00E95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16</Pages>
  <Words>2539</Words>
  <Characters>14475</Characters>
  <Application>Microsoft Office Word</Application>
  <DocSecurity>0</DocSecurity>
  <Lines>120</Lines>
  <Paragraphs>33</Paragraphs>
  <ScaleCrop>false</ScaleCrop>
  <Company>Microsoft</Company>
  <LinksUpToDate>false</LinksUpToDate>
  <CharactersWithSpaces>16981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Swanepoel</dc:creator>
  <cp:lastModifiedBy>Nangamso Phakathi</cp:lastModifiedBy>
  <cp:revision>6</cp:revision>
  <dcterms:created xsi:type="dcterms:W3CDTF">2014-11-21T14:45:00Z</dcterms:created>
  <dcterms:modified xsi:type="dcterms:W3CDTF">2015-01-13T12:58:00Z</dcterms:modified>
</cp:coreProperties>
</file>