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E49" w:rsidRDefault="00E43E49" w:rsidP="00E43E49">
      <w:pPr>
        <w:pStyle w:val="Heading2"/>
      </w:pPr>
      <w:bookmarkStart w:id="0" w:name="_Toc320540593"/>
      <w:r w:rsidRPr="008256ED">
        <w:rPr>
          <w:sz w:val="52"/>
        </w:rPr>
        <w:t>Chapter 12:</w:t>
      </w:r>
      <w:r w:rsidRPr="008256ED">
        <w:t xml:space="preserve"> </w:t>
      </w:r>
      <w:r>
        <w:br/>
      </w:r>
      <w:r w:rsidRPr="008256ED">
        <w:t>The equity market</w:t>
      </w:r>
      <w:bookmarkEnd w:id="0"/>
    </w:p>
    <w:p w:rsidR="00E43E49" w:rsidRDefault="00E43E49" w:rsidP="00E43E49">
      <w:pPr>
        <w:pStyle w:val="Heading1"/>
      </w:pPr>
      <w:bookmarkStart w:id="1" w:name="_Toc320540594"/>
      <w:r>
        <w:t>Textbook Questions</w:t>
      </w:r>
      <w:bookmarkEnd w:id="1"/>
      <w:r>
        <w:t xml:space="preserve"> </w:t>
      </w:r>
    </w:p>
    <w:p w:rsidR="00E43E49" w:rsidRDefault="00E43E49" w:rsidP="00E43E49">
      <w:pPr>
        <w:pStyle w:val="Heading3"/>
        <w:tabs>
          <w:tab w:val="left" w:pos="3665"/>
        </w:tabs>
      </w:pPr>
      <w:bookmarkStart w:id="2" w:name="AC12RQ"/>
      <w:r>
        <w:t xml:space="preserve">  </w:t>
      </w:r>
      <w:bookmarkStart w:id="3" w:name="_Toc320540595"/>
      <w:r w:rsidRPr="00BA13F3">
        <w:t>Review questions</w:t>
      </w:r>
      <w:bookmarkEnd w:id="3"/>
      <w:r>
        <w:tab/>
      </w:r>
    </w:p>
    <w:bookmarkEnd w:id="2"/>
    <w:p w:rsidR="00E43E49" w:rsidRPr="002061BC" w:rsidRDefault="00E43E49" w:rsidP="00E43E49">
      <w:pPr>
        <w:jc w:val="right"/>
        <w:rPr>
          <w:i/>
        </w:rPr>
      </w:pPr>
      <w:r w:rsidRPr="002061BC">
        <w:rPr>
          <w:i/>
        </w:rPr>
        <w:t xml:space="preserve">The following questions appear in the textbook on page </w:t>
      </w:r>
      <w:r>
        <w:rPr>
          <w:i/>
        </w:rPr>
        <w:t>385</w:t>
      </w:r>
      <w:r w:rsidRPr="002061BC">
        <w:rPr>
          <w:i/>
        </w:rPr>
        <w:t>.</w:t>
      </w:r>
    </w:p>
    <w:p w:rsidR="00E43E49" w:rsidRDefault="00E43E49" w:rsidP="00E43E49">
      <w:pPr>
        <w:rPr>
          <w:i/>
        </w:rPr>
      </w:pPr>
      <w:r w:rsidRPr="002061BC">
        <w:rPr>
          <w:i/>
        </w:rPr>
        <w:t>Answer the following questions.</w:t>
      </w:r>
      <w:r w:rsidRPr="002061BC">
        <w:rPr>
          <w:i/>
        </w:rPr>
        <w:tab/>
      </w:r>
    </w:p>
    <w:p w:rsidR="00E43E49" w:rsidRDefault="00E43E49" w:rsidP="00E43E49">
      <w:pPr>
        <w:pStyle w:val="Heading4"/>
        <w:numPr>
          <w:ilvl w:val="0"/>
          <w:numId w:val="9"/>
        </w:numPr>
      </w:pPr>
      <w:r>
        <w:tab/>
      </w:r>
    </w:p>
    <w:p w:rsidR="00E43E49" w:rsidRDefault="00E43E49" w:rsidP="00E43E49">
      <w:pPr>
        <w:rPr>
          <w:b/>
        </w:rPr>
      </w:pPr>
      <w:r w:rsidRPr="003249CB">
        <w:rPr>
          <w:b/>
        </w:rPr>
        <w:t>Differentiate between debt and ordinary shares in terms of maturity, seniority of claim, tax treatment from the company’s point of view and voice in management.</w:t>
      </w:r>
    </w:p>
    <w:p w:rsidR="00E43E49" w:rsidRPr="001320C9" w:rsidRDefault="00E43E49" w:rsidP="00E43E49">
      <w:pPr>
        <w:ind w:left="720"/>
        <w:jc w:val="left"/>
        <w:rPr>
          <w:b/>
          <w:color w:val="FF0000"/>
          <w:szCs w:val="22"/>
        </w:rPr>
      </w:pPr>
      <w:r w:rsidRPr="001320C9">
        <w:rPr>
          <w:b/>
          <w:color w:val="FF0000"/>
          <w:szCs w:val="22"/>
        </w:rPr>
        <w:t xml:space="preserve">See </w:t>
      </w:r>
      <w:r>
        <w:rPr>
          <w:b/>
          <w:color w:val="FF0000"/>
          <w:szCs w:val="22"/>
        </w:rPr>
        <w:t>table below</w:t>
      </w:r>
      <w:r w:rsidRPr="001320C9">
        <w:rPr>
          <w:b/>
          <w:color w:val="FF0000"/>
          <w:szCs w:val="22"/>
        </w:rPr>
        <w:t>.</w:t>
      </w:r>
    </w:p>
    <w:p w:rsidR="00E43E49" w:rsidRPr="001320C9" w:rsidRDefault="00E43E49" w:rsidP="00E43E49">
      <w:pPr>
        <w:ind w:left="720"/>
        <w:jc w:val="left"/>
        <w:rPr>
          <w:b/>
          <w:color w:val="FF0000"/>
          <w:szCs w:val="22"/>
        </w:rPr>
      </w:pPr>
      <w:r w:rsidRPr="001320C9">
        <w:rPr>
          <w:b/>
          <w:color w:val="FF0000"/>
          <w:szCs w:val="22"/>
        </w:rPr>
        <w:t>Table 12.2 Debt, preference shares and ordinary shares compared</w:t>
      </w:r>
    </w:p>
    <w:tbl>
      <w:tblPr>
        <w:tblpPr w:leftFromText="180" w:rightFromText="180" w:vertAnchor="text" w:tblpX="85" w:tblpY="1"/>
        <w:tblOverlap w:val="never"/>
        <w:tblW w:w="53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20" w:firstRow="1" w:lastRow="0" w:firstColumn="0" w:lastColumn="0" w:noHBand="0" w:noVBand="0"/>
      </w:tblPr>
      <w:tblGrid>
        <w:gridCol w:w="1645"/>
        <w:gridCol w:w="2127"/>
        <w:gridCol w:w="2550"/>
        <w:gridCol w:w="2790"/>
      </w:tblGrid>
      <w:tr w:rsidR="00E43E49" w:rsidRPr="001320C9" w:rsidTr="00E43E49">
        <w:trPr>
          <w:cantSplit/>
        </w:trPr>
        <w:tc>
          <w:tcPr>
            <w:tcW w:w="903" w:type="pct"/>
            <w:tcBorders>
              <w:top w:val="single" w:sz="4" w:space="0" w:color="auto"/>
              <w:left w:val="single" w:sz="4" w:space="0" w:color="auto"/>
              <w:bottom w:val="single" w:sz="4" w:space="0" w:color="auto"/>
              <w:right w:val="single" w:sz="4" w:space="0" w:color="auto"/>
            </w:tcBorders>
            <w:vAlign w:val="center"/>
          </w:tcPr>
          <w:p w:rsidR="00E43E49" w:rsidRPr="001320C9" w:rsidRDefault="00E43E49" w:rsidP="00E43E49">
            <w:pPr>
              <w:jc w:val="left"/>
              <w:rPr>
                <w:b/>
                <w:color w:val="FF0000"/>
                <w:szCs w:val="22"/>
                <w:lang w:eastAsia="en-ZA"/>
              </w:rPr>
            </w:pPr>
          </w:p>
        </w:tc>
        <w:tc>
          <w:tcPr>
            <w:tcW w:w="1167" w:type="pct"/>
            <w:tcBorders>
              <w:top w:val="single" w:sz="4" w:space="0" w:color="auto"/>
              <w:left w:val="single" w:sz="4" w:space="0" w:color="auto"/>
              <w:bottom w:val="single" w:sz="4" w:space="0" w:color="auto"/>
              <w:right w:val="single" w:sz="4" w:space="0" w:color="auto"/>
            </w:tcBorders>
            <w:vAlign w:val="center"/>
          </w:tcPr>
          <w:p w:rsidR="00E43E49" w:rsidRPr="001320C9" w:rsidRDefault="00E43E49" w:rsidP="00E43E49">
            <w:pPr>
              <w:jc w:val="left"/>
              <w:rPr>
                <w:b/>
                <w:color w:val="FF0000"/>
                <w:szCs w:val="22"/>
                <w:lang w:eastAsia="en-ZA"/>
              </w:rPr>
            </w:pPr>
            <w:r w:rsidRPr="001320C9">
              <w:rPr>
                <w:b/>
                <w:color w:val="FF0000"/>
                <w:szCs w:val="22"/>
                <w:lang w:eastAsia="en-ZA"/>
              </w:rPr>
              <w:t>Debt</w:t>
            </w:r>
          </w:p>
        </w:tc>
        <w:tc>
          <w:tcPr>
            <w:tcW w:w="1399" w:type="pct"/>
            <w:tcBorders>
              <w:top w:val="single" w:sz="4" w:space="0" w:color="auto"/>
              <w:left w:val="single" w:sz="4" w:space="0" w:color="auto"/>
              <w:bottom w:val="single" w:sz="4" w:space="0" w:color="auto"/>
              <w:right w:val="single" w:sz="4" w:space="0" w:color="auto"/>
            </w:tcBorders>
            <w:vAlign w:val="center"/>
          </w:tcPr>
          <w:p w:rsidR="00E43E49" w:rsidRPr="001320C9" w:rsidRDefault="00E43E49" w:rsidP="00E43E49">
            <w:pPr>
              <w:jc w:val="left"/>
              <w:rPr>
                <w:b/>
                <w:color w:val="FF0000"/>
                <w:szCs w:val="22"/>
                <w:lang w:eastAsia="en-ZA"/>
              </w:rPr>
            </w:pPr>
            <w:r w:rsidRPr="001320C9">
              <w:rPr>
                <w:b/>
                <w:color w:val="FF0000"/>
                <w:szCs w:val="22"/>
                <w:lang w:eastAsia="en-ZA"/>
              </w:rPr>
              <w:t>Ordinary shares</w:t>
            </w:r>
          </w:p>
        </w:tc>
        <w:tc>
          <w:tcPr>
            <w:tcW w:w="1531" w:type="pct"/>
            <w:tcBorders>
              <w:top w:val="single" w:sz="4" w:space="0" w:color="auto"/>
              <w:left w:val="single" w:sz="4" w:space="0" w:color="auto"/>
              <w:bottom w:val="single" w:sz="4" w:space="0" w:color="auto"/>
              <w:right w:val="single" w:sz="4" w:space="0" w:color="auto"/>
            </w:tcBorders>
            <w:vAlign w:val="center"/>
          </w:tcPr>
          <w:p w:rsidR="00E43E49" w:rsidRPr="001320C9" w:rsidRDefault="00E43E49" w:rsidP="00E43E49">
            <w:pPr>
              <w:jc w:val="left"/>
              <w:rPr>
                <w:b/>
                <w:color w:val="FF0000"/>
                <w:szCs w:val="22"/>
                <w:lang w:eastAsia="en-ZA"/>
              </w:rPr>
            </w:pPr>
            <w:r w:rsidRPr="001320C9">
              <w:rPr>
                <w:b/>
                <w:color w:val="FF0000"/>
                <w:szCs w:val="22"/>
                <w:lang w:eastAsia="en-ZA"/>
              </w:rPr>
              <w:t>Preference shares</w:t>
            </w:r>
          </w:p>
        </w:tc>
      </w:tr>
      <w:tr w:rsidR="00E43E49" w:rsidRPr="001320C9" w:rsidTr="00E43E49">
        <w:trPr>
          <w:cantSplit/>
        </w:trPr>
        <w:tc>
          <w:tcPr>
            <w:tcW w:w="903" w:type="pct"/>
            <w:tcBorders>
              <w:top w:val="single" w:sz="4" w:space="0" w:color="auto"/>
              <w:left w:val="single" w:sz="4" w:space="0" w:color="auto"/>
              <w:bottom w:val="single" w:sz="4" w:space="0" w:color="auto"/>
              <w:right w:val="single" w:sz="4" w:space="0" w:color="auto"/>
            </w:tcBorders>
            <w:vAlign w:val="center"/>
          </w:tcPr>
          <w:p w:rsidR="00E43E49" w:rsidRPr="001320C9" w:rsidRDefault="00E43E49" w:rsidP="00E43E49">
            <w:pPr>
              <w:jc w:val="left"/>
              <w:rPr>
                <w:b/>
                <w:color w:val="FF0000"/>
                <w:szCs w:val="22"/>
                <w:lang w:eastAsia="en-ZA"/>
              </w:rPr>
            </w:pPr>
            <w:r w:rsidRPr="001320C9">
              <w:rPr>
                <w:b/>
                <w:color w:val="FF0000"/>
                <w:szCs w:val="22"/>
                <w:lang w:eastAsia="en-ZA"/>
              </w:rPr>
              <w:t>Maturity</w:t>
            </w:r>
          </w:p>
        </w:tc>
        <w:tc>
          <w:tcPr>
            <w:tcW w:w="1167" w:type="pct"/>
            <w:tcBorders>
              <w:top w:val="single" w:sz="4" w:space="0" w:color="auto"/>
              <w:left w:val="single" w:sz="4" w:space="0" w:color="auto"/>
              <w:bottom w:val="single" w:sz="4" w:space="0" w:color="auto"/>
              <w:right w:val="single" w:sz="4" w:space="0" w:color="auto"/>
            </w:tcBorders>
            <w:vAlign w:val="center"/>
          </w:tcPr>
          <w:p w:rsidR="00E43E49" w:rsidRPr="001320C9" w:rsidRDefault="00E43E49" w:rsidP="00E43E49">
            <w:pPr>
              <w:jc w:val="left"/>
              <w:rPr>
                <w:b/>
                <w:color w:val="FF0000"/>
                <w:szCs w:val="22"/>
                <w:lang w:eastAsia="en-ZA"/>
              </w:rPr>
            </w:pPr>
            <w:r w:rsidRPr="001320C9">
              <w:rPr>
                <w:b/>
                <w:color w:val="FF0000"/>
                <w:szCs w:val="22"/>
                <w:lang w:eastAsia="en-ZA"/>
              </w:rPr>
              <w:t>Finite maturity – debt usually has a fixed maturity date</w:t>
            </w:r>
          </w:p>
        </w:tc>
        <w:tc>
          <w:tcPr>
            <w:tcW w:w="1399" w:type="pct"/>
            <w:tcBorders>
              <w:top w:val="single" w:sz="4" w:space="0" w:color="auto"/>
              <w:left w:val="single" w:sz="4" w:space="0" w:color="auto"/>
              <w:bottom w:val="single" w:sz="4" w:space="0" w:color="auto"/>
              <w:right w:val="single" w:sz="4" w:space="0" w:color="auto"/>
            </w:tcBorders>
            <w:vAlign w:val="center"/>
          </w:tcPr>
          <w:p w:rsidR="00E43E49" w:rsidRPr="001320C9" w:rsidRDefault="00E43E49" w:rsidP="00E43E49">
            <w:pPr>
              <w:jc w:val="left"/>
              <w:rPr>
                <w:b/>
                <w:color w:val="FF0000"/>
                <w:szCs w:val="22"/>
                <w:lang w:eastAsia="en-ZA"/>
              </w:rPr>
            </w:pPr>
            <w:r w:rsidRPr="001320C9">
              <w:rPr>
                <w:b/>
                <w:color w:val="FF0000"/>
                <w:szCs w:val="22"/>
                <w:lang w:eastAsia="en-ZA"/>
              </w:rPr>
              <w:t>Perpetual claim – ordinary shares have no maturity date</w:t>
            </w:r>
          </w:p>
        </w:tc>
        <w:tc>
          <w:tcPr>
            <w:tcW w:w="1531" w:type="pct"/>
            <w:tcBorders>
              <w:top w:val="single" w:sz="4" w:space="0" w:color="auto"/>
              <w:left w:val="single" w:sz="4" w:space="0" w:color="auto"/>
              <w:bottom w:val="single" w:sz="4" w:space="0" w:color="auto"/>
              <w:right w:val="single" w:sz="4" w:space="0" w:color="auto"/>
            </w:tcBorders>
            <w:vAlign w:val="center"/>
          </w:tcPr>
          <w:p w:rsidR="00E43E49" w:rsidRPr="001320C9" w:rsidRDefault="00E43E49" w:rsidP="00E43E49">
            <w:pPr>
              <w:jc w:val="left"/>
              <w:rPr>
                <w:b/>
                <w:color w:val="FF0000"/>
                <w:szCs w:val="22"/>
                <w:lang w:eastAsia="en-ZA"/>
              </w:rPr>
            </w:pPr>
            <w:r w:rsidRPr="001320C9">
              <w:rPr>
                <w:b/>
                <w:color w:val="FF0000"/>
                <w:szCs w:val="22"/>
                <w:lang w:eastAsia="en-ZA"/>
              </w:rPr>
              <w:t xml:space="preserve">Usually a perpetual claim </w:t>
            </w:r>
          </w:p>
        </w:tc>
      </w:tr>
      <w:tr w:rsidR="00E43E49" w:rsidRPr="001320C9" w:rsidTr="00E43E49">
        <w:trPr>
          <w:cantSplit/>
        </w:trPr>
        <w:tc>
          <w:tcPr>
            <w:tcW w:w="903" w:type="pct"/>
            <w:tcBorders>
              <w:top w:val="single" w:sz="4" w:space="0" w:color="auto"/>
              <w:left w:val="single" w:sz="4" w:space="0" w:color="auto"/>
              <w:bottom w:val="single" w:sz="4" w:space="0" w:color="auto"/>
              <w:right w:val="single" w:sz="4" w:space="0" w:color="auto"/>
            </w:tcBorders>
            <w:vAlign w:val="center"/>
          </w:tcPr>
          <w:p w:rsidR="00E43E49" w:rsidRPr="001320C9" w:rsidRDefault="00E43E49" w:rsidP="00E43E49">
            <w:pPr>
              <w:jc w:val="left"/>
              <w:rPr>
                <w:b/>
                <w:color w:val="FF0000"/>
                <w:szCs w:val="22"/>
                <w:lang w:eastAsia="en-ZA"/>
              </w:rPr>
            </w:pPr>
            <w:r w:rsidRPr="001320C9">
              <w:rPr>
                <w:b/>
                <w:color w:val="FF0000"/>
                <w:szCs w:val="22"/>
                <w:lang w:eastAsia="en-ZA"/>
              </w:rPr>
              <w:t>Seniority of claim</w:t>
            </w:r>
          </w:p>
        </w:tc>
        <w:tc>
          <w:tcPr>
            <w:tcW w:w="1167" w:type="pct"/>
            <w:tcBorders>
              <w:top w:val="single" w:sz="4" w:space="0" w:color="auto"/>
              <w:left w:val="single" w:sz="4" w:space="0" w:color="auto"/>
              <w:bottom w:val="single" w:sz="4" w:space="0" w:color="auto"/>
              <w:right w:val="single" w:sz="4" w:space="0" w:color="auto"/>
            </w:tcBorders>
            <w:vAlign w:val="center"/>
          </w:tcPr>
          <w:p w:rsidR="00E43E49" w:rsidRPr="001320C9" w:rsidRDefault="00E43E49" w:rsidP="00E43E49">
            <w:pPr>
              <w:jc w:val="left"/>
              <w:rPr>
                <w:b/>
                <w:color w:val="FF0000"/>
                <w:szCs w:val="22"/>
                <w:lang w:eastAsia="en-ZA"/>
              </w:rPr>
            </w:pPr>
            <w:r w:rsidRPr="001320C9">
              <w:rPr>
                <w:b/>
                <w:color w:val="FF0000"/>
                <w:szCs w:val="22"/>
                <w:lang w:eastAsia="en-ZA"/>
              </w:rPr>
              <w:t>A contractual claim. Claims of debt-holders have priority over ordinary and preference shares</w:t>
            </w:r>
          </w:p>
        </w:tc>
        <w:tc>
          <w:tcPr>
            <w:tcW w:w="1399" w:type="pct"/>
            <w:tcBorders>
              <w:top w:val="single" w:sz="4" w:space="0" w:color="auto"/>
              <w:left w:val="single" w:sz="4" w:space="0" w:color="auto"/>
              <w:bottom w:val="single" w:sz="4" w:space="0" w:color="auto"/>
              <w:right w:val="single" w:sz="4" w:space="0" w:color="auto"/>
            </w:tcBorders>
            <w:vAlign w:val="center"/>
          </w:tcPr>
          <w:p w:rsidR="00E43E49" w:rsidRPr="001320C9" w:rsidRDefault="00E43E49" w:rsidP="00E43E49">
            <w:pPr>
              <w:jc w:val="left"/>
              <w:rPr>
                <w:b/>
                <w:color w:val="FF0000"/>
                <w:szCs w:val="22"/>
                <w:lang w:eastAsia="en-ZA"/>
              </w:rPr>
            </w:pPr>
            <w:r w:rsidRPr="001320C9">
              <w:rPr>
                <w:b/>
                <w:color w:val="FF0000"/>
                <w:szCs w:val="22"/>
                <w:lang w:eastAsia="en-ZA"/>
              </w:rPr>
              <w:t xml:space="preserve">A residual claim, i.e. a claim to what is left after contractual claims are settled. </w:t>
            </w:r>
          </w:p>
          <w:p w:rsidR="00E43E49" w:rsidRPr="001320C9" w:rsidRDefault="00E43E49" w:rsidP="00E43E49">
            <w:pPr>
              <w:jc w:val="left"/>
              <w:rPr>
                <w:b/>
                <w:color w:val="FF0000"/>
                <w:szCs w:val="22"/>
                <w:lang w:eastAsia="en-ZA"/>
              </w:rPr>
            </w:pPr>
            <w:r w:rsidRPr="001320C9">
              <w:rPr>
                <w:b/>
                <w:color w:val="FF0000"/>
                <w:szCs w:val="22"/>
                <w:lang w:eastAsia="en-ZA"/>
              </w:rPr>
              <w:t>Claims of ordinary shareholders are subordinate to both debt and preference shares</w:t>
            </w:r>
          </w:p>
        </w:tc>
        <w:tc>
          <w:tcPr>
            <w:tcW w:w="1531" w:type="pct"/>
            <w:tcBorders>
              <w:top w:val="single" w:sz="4" w:space="0" w:color="auto"/>
              <w:left w:val="single" w:sz="4" w:space="0" w:color="auto"/>
              <w:bottom w:val="single" w:sz="4" w:space="0" w:color="auto"/>
              <w:right w:val="single" w:sz="4" w:space="0" w:color="auto"/>
            </w:tcBorders>
            <w:vAlign w:val="center"/>
          </w:tcPr>
          <w:p w:rsidR="00E43E49" w:rsidRPr="001320C9" w:rsidRDefault="00E43E49" w:rsidP="00E43E49">
            <w:pPr>
              <w:jc w:val="left"/>
              <w:rPr>
                <w:b/>
                <w:color w:val="FF0000"/>
                <w:szCs w:val="22"/>
                <w:lang w:eastAsia="en-ZA"/>
              </w:rPr>
            </w:pPr>
            <w:r w:rsidRPr="001320C9">
              <w:rPr>
                <w:b/>
                <w:color w:val="FF0000"/>
                <w:szCs w:val="22"/>
                <w:lang w:eastAsia="en-ZA"/>
              </w:rPr>
              <w:t>A residual claim. Claims of preference shareholders are subordinate to debt but have priority over ordinary shares</w:t>
            </w:r>
          </w:p>
        </w:tc>
      </w:tr>
      <w:tr w:rsidR="00E43E49" w:rsidRPr="001320C9" w:rsidTr="00E43E49">
        <w:trPr>
          <w:cantSplit/>
        </w:trPr>
        <w:tc>
          <w:tcPr>
            <w:tcW w:w="903" w:type="pct"/>
            <w:tcBorders>
              <w:top w:val="single" w:sz="4" w:space="0" w:color="auto"/>
              <w:left w:val="single" w:sz="4" w:space="0" w:color="auto"/>
              <w:bottom w:val="single" w:sz="4" w:space="0" w:color="auto"/>
              <w:right w:val="single" w:sz="4" w:space="0" w:color="auto"/>
            </w:tcBorders>
            <w:vAlign w:val="center"/>
          </w:tcPr>
          <w:p w:rsidR="00E43E49" w:rsidRPr="001320C9" w:rsidRDefault="00E43E49" w:rsidP="00E43E49">
            <w:pPr>
              <w:jc w:val="left"/>
              <w:rPr>
                <w:b/>
                <w:color w:val="FF0000"/>
                <w:szCs w:val="22"/>
                <w:lang w:eastAsia="en-ZA"/>
              </w:rPr>
            </w:pPr>
            <w:r w:rsidRPr="001320C9">
              <w:rPr>
                <w:b/>
                <w:color w:val="FF0000"/>
                <w:szCs w:val="22"/>
                <w:lang w:eastAsia="en-ZA"/>
              </w:rPr>
              <w:t>Tax treatment – company</w:t>
            </w:r>
          </w:p>
        </w:tc>
        <w:tc>
          <w:tcPr>
            <w:tcW w:w="1167" w:type="pct"/>
            <w:tcBorders>
              <w:top w:val="single" w:sz="4" w:space="0" w:color="auto"/>
              <w:left w:val="single" w:sz="4" w:space="0" w:color="auto"/>
              <w:bottom w:val="single" w:sz="4" w:space="0" w:color="auto"/>
              <w:right w:val="single" w:sz="4" w:space="0" w:color="auto"/>
            </w:tcBorders>
            <w:vAlign w:val="center"/>
          </w:tcPr>
          <w:p w:rsidR="00E43E49" w:rsidRPr="001320C9" w:rsidRDefault="00E43E49" w:rsidP="00E43E49">
            <w:pPr>
              <w:jc w:val="left"/>
              <w:rPr>
                <w:b/>
                <w:color w:val="FF0000"/>
                <w:szCs w:val="22"/>
                <w:lang w:eastAsia="en-ZA"/>
              </w:rPr>
            </w:pPr>
            <w:r w:rsidRPr="001320C9">
              <w:rPr>
                <w:b/>
                <w:color w:val="FF0000"/>
                <w:szCs w:val="22"/>
                <w:lang w:eastAsia="en-ZA"/>
              </w:rPr>
              <w:t>Interest paid is usually deductible for income tax purposes</w:t>
            </w:r>
          </w:p>
        </w:tc>
        <w:tc>
          <w:tcPr>
            <w:tcW w:w="1399" w:type="pct"/>
            <w:tcBorders>
              <w:top w:val="single" w:sz="4" w:space="0" w:color="auto"/>
              <w:left w:val="single" w:sz="4" w:space="0" w:color="auto"/>
              <w:bottom w:val="single" w:sz="4" w:space="0" w:color="auto"/>
              <w:right w:val="single" w:sz="4" w:space="0" w:color="auto"/>
            </w:tcBorders>
            <w:vAlign w:val="center"/>
          </w:tcPr>
          <w:p w:rsidR="00E43E49" w:rsidRPr="001320C9" w:rsidRDefault="00E43E49" w:rsidP="00E43E49">
            <w:pPr>
              <w:jc w:val="left"/>
              <w:rPr>
                <w:b/>
                <w:color w:val="FF0000"/>
                <w:szCs w:val="22"/>
                <w:lang w:eastAsia="en-ZA"/>
              </w:rPr>
            </w:pPr>
            <w:r w:rsidRPr="001320C9">
              <w:rPr>
                <w:b/>
                <w:color w:val="FF0000"/>
                <w:szCs w:val="22"/>
                <w:lang w:eastAsia="en-ZA"/>
              </w:rPr>
              <w:t>Dividends paid are usually not deductible for income tax purposes</w:t>
            </w:r>
          </w:p>
        </w:tc>
        <w:tc>
          <w:tcPr>
            <w:tcW w:w="1531" w:type="pct"/>
            <w:tcBorders>
              <w:top w:val="single" w:sz="4" w:space="0" w:color="auto"/>
              <w:left w:val="single" w:sz="4" w:space="0" w:color="auto"/>
              <w:bottom w:val="single" w:sz="4" w:space="0" w:color="auto"/>
              <w:right w:val="single" w:sz="4" w:space="0" w:color="auto"/>
            </w:tcBorders>
            <w:vAlign w:val="center"/>
          </w:tcPr>
          <w:p w:rsidR="00E43E49" w:rsidRPr="001320C9" w:rsidRDefault="00E43E49" w:rsidP="00E43E49">
            <w:pPr>
              <w:jc w:val="left"/>
              <w:rPr>
                <w:b/>
                <w:color w:val="FF0000"/>
                <w:szCs w:val="22"/>
                <w:lang w:eastAsia="en-ZA"/>
              </w:rPr>
            </w:pPr>
            <w:r w:rsidRPr="001320C9">
              <w:rPr>
                <w:b/>
                <w:color w:val="FF0000"/>
                <w:szCs w:val="22"/>
                <w:lang w:eastAsia="en-ZA"/>
              </w:rPr>
              <w:t>Dividends paid are usually not deductible for income tax purposes</w:t>
            </w:r>
          </w:p>
        </w:tc>
      </w:tr>
      <w:tr w:rsidR="00E43E49" w:rsidRPr="001320C9" w:rsidTr="00E43E49">
        <w:trPr>
          <w:cantSplit/>
          <w:trHeight w:val="861"/>
        </w:trPr>
        <w:tc>
          <w:tcPr>
            <w:tcW w:w="903" w:type="pct"/>
            <w:tcBorders>
              <w:top w:val="single" w:sz="4" w:space="0" w:color="auto"/>
              <w:left w:val="single" w:sz="4" w:space="0" w:color="auto"/>
              <w:bottom w:val="single" w:sz="4" w:space="0" w:color="auto"/>
              <w:right w:val="single" w:sz="4" w:space="0" w:color="auto"/>
            </w:tcBorders>
            <w:vAlign w:val="center"/>
          </w:tcPr>
          <w:p w:rsidR="00E43E49" w:rsidRPr="001320C9" w:rsidRDefault="00E43E49" w:rsidP="00E43E49">
            <w:pPr>
              <w:jc w:val="left"/>
              <w:rPr>
                <w:b/>
                <w:color w:val="FF0000"/>
                <w:szCs w:val="22"/>
                <w:lang w:eastAsia="en-ZA"/>
              </w:rPr>
            </w:pPr>
            <w:r w:rsidRPr="001320C9">
              <w:rPr>
                <w:b/>
                <w:color w:val="FF0000"/>
                <w:szCs w:val="22"/>
                <w:lang w:eastAsia="en-ZA"/>
              </w:rPr>
              <w:lastRenderedPageBreak/>
              <w:t xml:space="preserve">Tax treatment – investor </w:t>
            </w:r>
          </w:p>
        </w:tc>
        <w:tc>
          <w:tcPr>
            <w:tcW w:w="1167" w:type="pct"/>
            <w:tcBorders>
              <w:top w:val="single" w:sz="4" w:space="0" w:color="auto"/>
              <w:left w:val="single" w:sz="4" w:space="0" w:color="auto"/>
              <w:bottom w:val="single" w:sz="4" w:space="0" w:color="auto"/>
              <w:right w:val="single" w:sz="4" w:space="0" w:color="auto"/>
            </w:tcBorders>
            <w:vAlign w:val="center"/>
          </w:tcPr>
          <w:p w:rsidR="00E43E49" w:rsidRPr="001320C9" w:rsidRDefault="00E43E49" w:rsidP="00E43E49">
            <w:pPr>
              <w:jc w:val="left"/>
              <w:rPr>
                <w:b/>
                <w:color w:val="FF0000"/>
                <w:szCs w:val="22"/>
                <w:lang w:eastAsia="en-ZA"/>
              </w:rPr>
            </w:pPr>
            <w:r w:rsidRPr="001320C9">
              <w:rPr>
                <w:b/>
                <w:color w:val="FF0000"/>
                <w:szCs w:val="22"/>
                <w:lang w:eastAsia="en-ZA"/>
              </w:rPr>
              <w:t>Income tax is usually payable on interest received.</w:t>
            </w:r>
          </w:p>
        </w:tc>
        <w:tc>
          <w:tcPr>
            <w:tcW w:w="1399" w:type="pct"/>
            <w:tcBorders>
              <w:top w:val="single" w:sz="4" w:space="0" w:color="auto"/>
              <w:left w:val="single" w:sz="4" w:space="0" w:color="auto"/>
              <w:bottom w:val="single" w:sz="4" w:space="0" w:color="auto"/>
              <w:right w:val="single" w:sz="4" w:space="0" w:color="auto"/>
            </w:tcBorders>
            <w:vAlign w:val="center"/>
          </w:tcPr>
          <w:p w:rsidR="00E43E49" w:rsidRPr="001320C9" w:rsidRDefault="00E43E49" w:rsidP="00E43E49">
            <w:pPr>
              <w:jc w:val="left"/>
              <w:rPr>
                <w:b/>
                <w:color w:val="FF0000"/>
                <w:szCs w:val="22"/>
                <w:lang w:eastAsia="en-ZA"/>
              </w:rPr>
            </w:pPr>
            <w:r w:rsidRPr="001320C9">
              <w:rPr>
                <w:b/>
                <w:color w:val="FF0000"/>
                <w:szCs w:val="22"/>
                <w:lang w:eastAsia="en-ZA"/>
              </w:rPr>
              <w:t xml:space="preserve">Income tax is sometimes not payable on dividends received. </w:t>
            </w:r>
          </w:p>
          <w:p w:rsidR="00E43E49" w:rsidRPr="001320C9" w:rsidRDefault="00E43E49" w:rsidP="00E43E49">
            <w:pPr>
              <w:jc w:val="left"/>
              <w:rPr>
                <w:b/>
                <w:color w:val="FF0000"/>
                <w:szCs w:val="22"/>
                <w:lang w:eastAsia="en-ZA"/>
              </w:rPr>
            </w:pPr>
            <w:r w:rsidRPr="001320C9">
              <w:rPr>
                <w:b/>
                <w:color w:val="FF0000"/>
                <w:szCs w:val="22"/>
                <w:lang w:eastAsia="en-ZA"/>
              </w:rPr>
              <w:t>In South Africa tax will be payable on dividends received from 1 April 2012</w:t>
            </w:r>
          </w:p>
        </w:tc>
        <w:tc>
          <w:tcPr>
            <w:tcW w:w="1531" w:type="pct"/>
            <w:tcBorders>
              <w:top w:val="single" w:sz="4" w:space="0" w:color="auto"/>
              <w:left w:val="single" w:sz="4" w:space="0" w:color="auto"/>
              <w:bottom w:val="single" w:sz="4" w:space="0" w:color="auto"/>
              <w:right w:val="single" w:sz="4" w:space="0" w:color="auto"/>
            </w:tcBorders>
            <w:vAlign w:val="center"/>
          </w:tcPr>
          <w:p w:rsidR="00E43E49" w:rsidRPr="001320C9" w:rsidRDefault="00E43E49" w:rsidP="00E43E49">
            <w:pPr>
              <w:jc w:val="left"/>
              <w:rPr>
                <w:b/>
                <w:color w:val="FF0000"/>
                <w:szCs w:val="22"/>
                <w:lang w:eastAsia="en-ZA"/>
              </w:rPr>
            </w:pPr>
            <w:r w:rsidRPr="001320C9">
              <w:rPr>
                <w:b/>
                <w:color w:val="FF0000"/>
                <w:szCs w:val="22"/>
                <w:lang w:eastAsia="en-ZA"/>
              </w:rPr>
              <w:t xml:space="preserve">Income tax is sometimes not payable on dividends received. </w:t>
            </w:r>
          </w:p>
          <w:p w:rsidR="00E43E49" w:rsidRPr="001320C9" w:rsidRDefault="00E43E49" w:rsidP="00E43E49">
            <w:pPr>
              <w:jc w:val="left"/>
              <w:rPr>
                <w:b/>
                <w:color w:val="FF0000"/>
                <w:szCs w:val="22"/>
                <w:lang w:eastAsia="en-ZA"/>
              </w:rPr>
            </w:pPr>
            <w:r w:rsidRPr="001320C9">
              <w:rPr>
                <w:b/>
                <w:color w:val="FF0000"/>
                <w:szCs w:val="22"/>
                <w:lang w:eastAsia="en-ZA"/>
              </w:rPr>
              <w:t>In South Africa tax will be payable on dividends received from 1 April 2012</w:t>
            </w:r>
          </w:p>
        </w:tc>
      </w:tr>
      <w:tr w:rsidR="00E43E49" w:rsidRPr="001320C9" w:rsidTr="00E43E49">
        <w:trPr>
          <w:cantSplit/>
          <w:trHeight w:val="1572"/>
        </w:trPr>
        <w:tc>
          <w:tcPr>
            <w:tcW w:w="903" w:type="pct"/>
            <w:tcBorders>
              <w:top w:val="single" w:sz="4" w:space="0" w:color="auto"/>
              <w:left w:val="single" w:sz="4" w:space="0" w:color="auto"/>
              <w:bottom w:val="single" w:sz="4" w:space="0" w:color="auto"/>
              <w:right w:val="single" w:sz="4" w:space="0" w:color="auto"/>
            </w:tcBorders>
            <w:vAlign w:val="center"/>
          </w:tcPr>
          <w:p w:rsidR="00E43E49" w:rsidRPr="001320C9" w:rsidRDefault="00E43E49" w:rsidP="00E43E49">
            <w:pPr>
              <w:jc w:val="left"/>
              <w:rPr>
                <w:b/>
                <w:color w:val="FF0000"/>
                <w:szCs w:val="22"/>
                <w:lang w:eastAsia="en-ZA"/>
              </w:rPr>
            </w:pPr>
            <w:r w:rsidRPr="001320C9">
              <w:rPr>
                <w:b/>
                <w:color w:val="FF0000"/>
                <w:szCs w:val="22"/>
                <w:lang w:eastAsia="en-ZA"/>
              </w:rPr>
              <w:t>Voice in management</w:t>
            </w:r>
          </w:p>
        </w:tc>
        <w:tc>
          <w:tcPr>
            <w:tcW w:w="1167" w:type="pct"/>
            <w:tcBorders>
              <w:top w:val="single" w:sz="4" w:space="0" w:color="auto"/>
              <w:left w:val="single" w:sz="4" w:space="0" w:color="auto"/>
              <w:bottom w:val="single" w:sz="4" w:space="0" w:color="auto"/>
              <w:right w:val="single" w:sz="4" w:space="0" w:color="auto"/>
            </w:tcBorders>
            <w:vAlign w:val="center"/>
          </w:tcPr>
          <w:p w:rsidR="00E43E49" w:rsidRPr="001320C9" w:rsidRDefault="00E43E49" w:rsidP="00E43E49">
            <w:pPr>
              <w:jc w:val="left"/>
              <w:rPr>
                <w:b/>
                <w:color w:val="FF0000"/>
                <w:szCs w:val="22"/>
                <w:lang w:eastAsia="en-ZA"/>
              </w:rPr>
            </w:pPr>
            <w:r w:rsidRPr="001320C9">
              <w:rPr>
                <w:b/>
                <w:color w:val="FF0000"/>
                <w:szCs w:val="22"/>
                <w:lang w:eastAsia="en-ZA"/>
              </w:rPr>
              <w:t>Have no right to choose directors or vote on matters of importance to the company</w:t>
            </w:r>
          </w:p>
        </w:tc>
        <w:tc>
          <w:tcPr>
            <w:tcW w:w="1399" w:type="pct"/>
            <w:tcBorders>
              <w:top w:val="single" w:sz="4" w:space="0" w:color="auto"/>
              <w:left w:val="single" w:sz="4" w:space="0" w:color="auto"/>
              <w:bottom w:val="single" w:sz="4" w:space="0" w:color="auto"/>
              <w:right w:val="single" w:sz="4" w:space="0" w:color="auto"/>
            </w:tcBorders>
            <w:vAlign w:val="center"/>
          </w:tcPr>
          <w:p w:rsidR="00E43E49" w:rsidRPr="001320C9" w:rsidRDefault="00E43E49" w:rsidP="00E43E49">
            <w:pPr>
              <w:jc w:val="left"/>
              <w:rPr>
                <w:b/>
                <w:color w:val="FF0000"/>
                <w:szCs w:val="22"/>
                <w:lang w:eastAsia="en-ZA"/>
              </w:rPr>
            </w:pPr>
            <w:r w:rsidRPr="001320C9">
              <w:rPr>
                <w:b/>
                <w:color w:val="FF0000"/>
                <w:szCs w:val="22"/>
                <w:lang w:eastAsia="en-ZA"/>
              </w:rPr>
              <w:t>Have the right to choose directors and vote on matters of importance to the company</w:t>
            </w:r>
          </w:p>
        </w:tc>
        <w:tc>
          <w:tcPr>
            <w:tcW w:w="1531" w:type="pct"/>
            <w:tcBorders>
              <w:top w:val="single" w:sz="4" w:space="0" w:color="auto"/>
              <w:left w:val="single" w:sz="4" w:space="0" w:color="auto"/>
              <w:bottom w:val="single" w:sz="4" w:space="0" w:color="auto"/>
              <w:right w:val="single" w:sz="4" w:space="0" w:color="auto"/>
            </w:tcBorders>
            <w:vAlign w:val="center"/>
          </w:tcPr>
          <w:p w:rsidR="00E43E49" w:rsidRPr="001320C9" w:rsidRDefault="00E43E49" w:rsidP="00E43E49">
            <w:pPr>
              <w:jc w:val="left"/>
              <w:rPr>
                <w:b/>
                <w:color w:val="FF0000"/>
                <w:szCs w:val="22"/>
                <w:lang w:eastAsia="en-ZA"/>
              </w:rPr>
            </w:pPr>
            <w:r w:rsidRPr="001320C9">
              <w:rPr>
                <w:b/>
                <w:color w:val="FF0000"/>
                <w:szCs w:val="22"/>
                <w:lang w:eastAsia="en-ZA"/>
              </w:rPr>
              <w:t>Have a limited voice in management. Voting rights usually concern the issuance of securities with equal or higher seniority</w:t>
            </w:r>
          </w:p>
        </w:tc>
      </w:tr>
    </w:tbl>
    <w:p w:rsidR="00E43E49" w:rsidRPr="003249CB" w:rsidRDefault="00E43E49" w:rsidP="00E43E49">
      <w:pPr>
        <w:pStyle w:val="Heading4"/>
      </w:pPr>
    </w:p>
    <w:p w:rsidR="00E43E49" w:rsidRDefault="00E43E49" w:rsidP="00E43E49">
      <w:pPr>
        <w:rPr>
          <w:b/>
        </w:rPr>
      </w:pPr>
      <w:r w:rsidRPr="003249CB">
        <w:rPr>
          <w:b/>
        </w:rPr>
        <w:t>Discuss the two types of new share issue.</w:t>
      </w:r>
    </w:p>
    <w:p w:rsidR="00E43E49" w:rsidRPr="001320C9" w:rsidRDefault="00E43E49" w:rsidP="00E43E49">
      <w:pPr>
        <w:ind w:left="720"/>
        <w:rPr>
          <w:b/>
          <w:color w:val="FF0000"/>
          <w:szCs w:val="22"/>
        </w:rPr>
      </w:pPr>
      <w:r w:rsidRPr="001320C9">
        <w:rPr>
          <w:b/>
          <w:color w:val="FF0000"/>
          <w:szCs w:val="22"/>
        </w:rPr>
        <w:t>An initial public offer (IPO) is a new issue of shares when a company is first listed. A secondary public offer (SPO) is a new issue of shares when an already-listed company decides to issue further shares.</w:t>
      </w:r>
    </w:p>
    <w:p w:rsidR="00E43E49" w:rsidRPr="003249CB" w:rsidRDefault="00E43E49" w:rsidP="00E43E49">
      <w:pPr>
        <w:pStyle w:val="Heading4"/>
      </w:pPr>
    </w:p>
    <w:p w:rsidR="00E43E49" w:rsidRDefault="00E43E49" w:rsidP="00E43E49">
      <w:pPr>
        <w:rPr>
          <w:b/>
        </w:rPr>
      </w:pPr>
      <w:r w:rsidRPr="003249CB">
        <w:rPr>
          <w:b/>
        </w:rPr>
        <w:t>Differentiate between order- and quote-driven equity markets.</w:t>
      </w:r>
    </w:p>
    <w:p w:rsidR="00E43E49" w:rsidRPr="001320C9" w:rsidRDefault="00E43E49" w:rsidP="00E43E49">
      <w:pPr>
        <w:ind w:left="720"/>
        <w:rPr>
          <w:b/>
          <w:color w:val="FF0000"/>
          <w:szCs w:val="22"/>
        </w:rPr>
      </w:pPr>
      <w:r w:rsidRPr="001320C9">
        <w:rPr>
          <w:b/>
          <w:color w:val="FF0000"/>
          <w:szCs w:val="22"/>
        </w:rPr>
        <w:t>An order-driven or auction market is a market where buyers and sellers submit bid and ask prices of a particular share to a central location where the orders are matched by brokers. A quote-driven market is a market where prices are determined by dealers bid/offer quotations.</w:t>
      </w:r>
    </w:p>
    <w:p w:rsidR="00E43E49" w:rsidRPr="003249CB" w:rsidRDefault="00E43E49" w:rsidP="00E43E49">
      <w:pPr>
        <w:pStyle w:val="Heading4"/>
      </w:pPr>
    </w:p>
    <w:p w:rsidR="00E43E49" w:rsidRDefault="00E43E49" w:rsidP="00E43E49">
      <w:pPr>
        <w:rPr>
          <w:b/>
        </w:rPr>
      </w:pPr>
      <w:r w:rsidRPr="003249CB">
        <w:rPr>
          <w:b/>
        </w:rPr>
        <w:t>List the most important characteristics of ordinary shares.</w:t>
      </w:r>
    </w:p>
    <w:p w:rsidR="00E43E49" w:rsidRDefault="00E43E49" w:rsidP="00E43E49">
      <w:pPr>
        <w:ind w:left="720"/>
        <w:rPr>
          <w:b/>
          <w:color w:val="FF0000"/>
          <w:szCs w:val="22"/>
        </w:rPr>
      </w:pPr>
      <w:r w:rsidRPr="001320C9">
        <w:rPr>
          <w:b/>
          <w:color w:val="FF0000"/>
          <w:szCs w:val="22"/>
        </w:rPr>
        <w:t>The most important characteristics are that: (i) ordinary shares have no maturity date (perpetual claim) so individual shareholders can liquidate their investments in the shares of a company only by selling them to another investor; (ii) ordinary shareholders have a claim on the income and net assets of the company only after obligations to creditors, bondholders and preferred shareholders have been met (residual claim); and (iii) shareholders have the first option to buy new shares (pre-emptive right).</w:t>
      </w:r>
    </w:p>
    <w:p w:rsidR="00E43E49" w:rsidRPr="001320C9" w:rsidRDefault="00E43E49" w:rsidP="00E43E49">
      <w:pPr>
        <w:ind w:left="720"/>
        <w:rPr>
          <w:b/>
          <w:color w:val="FF0000"/>
          <w:szCs w:val="22"/>
        </w:rPr>
      </w:pPr>
    </w:p>
    <w:p w:rsidR="00E43E49" w:rsidRPr="003249CB" w:rsidRDefault="00E43E49" w:rsidP="00E43E49">
      <w:pPr>
        <w:pStyle w:val="Heading4"/>
      </w:pPr>
    </w:p>
    <w:p w:rsidR="00E43E49" w:rsidRDefault="00E43E49" w:rsidP="00E43E49">
      <w:pPr>
        <w:tabs>
          <w:tab w:val="left" w:pos="5718"/>
        </w:tabs>
        <w:rPr>
          <w:b/>
        </w:rPr>
      </w:pPr>
      <w:r w:rsidRPr="003249CB">
        <w:rPr>
          <w:b/>
        </w:rPr>
        <w:t>What do the returns to ordinary shareholders consist of?</w:t>
      </w:r>
      <w:r>
        <w:rPr>
          <w:b/>
        </w:rPr>
        <w:tab/>
      </w:r>
    </w:p>
    <w:p w:rsidR="00E43E49" w:rsidRPr="001320C9" w:rsidRDefault="00E43E49" w:rsidP="00E43E49">
      <w:pPr>
        <w:ind w:left="720"/>
        <w:rPr>
          <w:b/>
          <w:color w:val="FF0000"/>
          <w:szCs w:val="22"/>
        </w:rPr>
      </w:pPr>
      <w:r w:rsidRPr="001320C9">
        <w:rPr>
          <w:b/>
          <w:color w:val="FF0000"/>
          <w:szCs w:val="22"/>
        </w:rPr>
        <w:t>Dividends and capital gains (losses).</w:t>
      </w:r>
    </w:p>
    <w:p w:rsidR="00E43E49" w:rsidRPr="003249CB" w:rsidRDefault="00E43E49" w:rsidP="00E43E49">
      <w:pPr>
        <w:pStyle w:val="Heading4"/>
      </w:pPr>
    </w:p>
    <w:p w:rsidR="00E43E49" w:rsidRDefault="00E43E49" w:rsidP="00E43E49">
      <w:pPr>
        <w:rPr>
          <w:b/>
        </w:rPr>
      </w:pPr>
      <w:r w:rsidRPr="003249CB">
        <w:rPr>
          <w:b/>
        </w:rPr>
        <w:t>List six types of equity investor.</w:t>
      </w:r>
    </w:p>
    <w:p w:rsidR="00E43E49" w:rsidRPr="001320C9" w:rsidRDefault="00E43E49" w:rsidP="00E43E49">
      <w:pPr>
        <w:numPr>
          <w:ilvl w:val="0"/>
          <w:numId w:val="7"/>
        </w:numPr>
        <w:spacing w:after="0" w:line="360" w:lineRule="auto"/>
        <w:jc w:val="left"/>
        <w:rPr>
          <w:b/>
          <w:color w:val="FF0000"/>
          <w:szCs w:val="22"/>
        </w:rPr>
      </w:pPr>
      <w:r w:rsidRPr="001320C9">
        <w:rPr>
          <w:b/>
          <w:color w:val="FF0000"/>
          <w:szCs w:val="22"/>
        </w:rPr>
        <w:t>Individuals</w:t>
      </w:r>
    </w:p>
    <w:p w:rsidR="00E43E49" w:rsidRPr="001320C9" w:rsidRDefault="00E43E49" w:rsidP="00E43E49">
      <w:pPr>
        <w:numPr>
          <w:ilvl w:val="0"/>
          <w:numId w:val="7"/>
        </w:numPr>
        <w:spacing w:after="0" w:line="360" w:lineRule="auto"/>
        <w:jc w:val="left"/>
        <w:rPr>
          <w:b/>
          <w:color w:val="FF0000"/>
          <w:szCs w:val="22"/>
        </w:rPr>
      </w:pPr>
      <w:r w:rsidRPr="001320C9">
        <w:rPr>
          <w:b/>
          <w:color w:val="FF0000"/>
          <w:szCs w:val="22"/>
        </w:rPr>
        <w:t>Companies</w:t>
      </w:r>
    </w:p>
    <w:p w:rsidR="00E43E49" w:rsidRPr="001320C9" w:rsidRDefault="00E43E49" w:rsidP="00E43E49">
      <w:pPr>
        <w:numPr>
          <w:ilvl w:val="0"/>
          <w:numId w:val="7"/>
        </w:numPr>
        <w:spacing w:after="0" w:line="360" w:lineRule="auto"/>
        <w:jc w:val="left"/>
        <w:rPr>
          <w:b/>
          <w:color w:val="FF0000"/>
          <w:szCs w:val="22"/>
        </w:rPr>
      </w:pPr>
      <w:r w:rsidRPr="001320C9">
        <w:rPr>
          <w:b/>
          <w:color w:val="FF0000"/>
          <w:szCs w:val="22"/>
        </w:rPr>
        <w:t>Asset management firms</w:t>
      </w:r>
    </w:p>
    <w:p w:rsidR="00E43E49" w:rsidRPr="001320C9" w:rsidRDefault="00E43E49" w:rsidP="00E43E49">
      <w:pPr>
        <w:numPr>
          <w:ilvl w:val="0"/>
          <w:numId w:val="7"/>
        </w:numPr>
        <w:spacing w:after="0" w:line="360" w:lineRule="auto"/>
        <w:jc w:val="left"/>
        <w:rPr>
          <w:b/>
          <w:color w:val="FF0000"/>
          <w:szCs w:val="22"/>
        </w:rPr>
      </w:pPr>
      <w:r w:rsidRPr="001320C9">
        <w:rPr>
          <w:b/>
          <w:color w:val="FF0000"/>
          <w:szCs w:val="22"/>
        </w:rPr>
        <w:t>Insurance companies</w:t>
      </w:r>
    </w:p>
    <w:p w:rsidR="00E43E49" w:rsidRPr="001320C9" w:rsidRDefault="00E43E49" w:rsidP="00E43E49">
      <w:pPr>
        <w:numPr>
          <w:ilvl w:val="0"/>
          <w:numId w:val="7"/>
        </w:numPr>
        <w:spacing w:after="0" w:line="360" w:lineRule="auto"/>
        <w:jc w:val="left"/>
        <w:rPr>
          <w:b/>
          <w:color w:val="FF0000"/>
          <w:szCs w:val="22"/>
        </w:rPr>
      </w:pPr>
      <w:r w:rsidRPr="001320C9">
        <w:rPr>
          <w:b/>
          <w:color w:val="FF0000"/>
          <w:szCs w:val="22"/>
        </w:rPr>
        <w:t>Pension funds</w:t>
      </w:r>
    </w:p>
    <w:p w:rsidR="00E43E49" w:rsidRPr="001320C9" w:rsidRDefault="00E43E49" w:rsidP="00E43E49">
      <w:pPr>
        <w:numPr>
          <w:ilvl w:val="0"/>
          <w:numId w:val="7"/>
        </w:numPr>
        <w:spacing w:after="0" w:line="360" w:lineRule="auto"/>
        <w:jc w:val="left"/>
        <w:rPr>
          <w:b/>
          <w:color w:val="FF0000"/>
          <w:szCs w:val="22"/>
        </w:rPr>
      </w:pPr>
      <w:r w:rsidRPr="001320C9">
        <w:rPr>
          <w:b/>
          <w:color w:val="FF0000"/>
          <w:szCs w:val="22"/>
        </w:rPr>
        <w:t>Collective investment schemes</w:t>
      </w:r>
    </w:p>
    <w:p w:rsidR="00E43E49" w:rsidRPr="003249CB" w:rsidRDefault="00E43E49" w:rsidP="00E43E49">
      <w:pPr>
        <w:pStyle w:val="Heading4"/>
      </w:pPr>
    </w:p>
    <w:p w:rsidR="00E43E49" w:rsidRDefault="00E43E49" w:rsidP="00E43E49">
      <w:pPr>
        <w:rPr>
          <w:b/>
        </w:rPr>
      </w:pPr>
      <w:r w:rsidRPr="003249CB">
        <w:rPr>
          <w:b/>
        </w:rPr>
        <w:t>Explain the statement: “Preference shares are hybrid securities in that they have features of ordinary shares and debt”.</w:t>
      </w:r>
    </w:p>
    <w:p w:rsidR="00E43E49" w:rsidRPr="001320C9" w:rsidRDefault="00E43E49" w:rsidP="00E43E49">
      <w:pPr>
        <w:ind w:left="720"/>
        <w:rPr>
          <w:b/>
          <w:color w:val="FF0000"/>
          <w:szCs w:val="22"/>
        </w:rPr>
      </w:pPr>
      <w:r w:rsidRPr="001320C9">
        <w:rPr>
          <w:b/>
          <w:color w:val="FF0000"/>
          <w:szCs w:val="22"/>
        </w:rPr>
        <w:t>Preference shares are a source of long-term equity funding that has features of both ordinary shares and debt. Like debt, preference shares pay their holders a fixed amount (dividend) per year, have no voting rights and in the event of non-payment of dividends, may have the cumulative dividend feature that requires all dividends to be paid before any payment to ordinary shareholders. Like ordinary shares, preference shares are perpetual claims and subordinate to bonds in terms of seniority in the event of liquidation.</w:t>
      </w:r>
    </w:p>
    <w:p w:rsidR="00E43E49" w:rsidRPr="003249CB" w:rsidRDefault="00E43E49" w:rsidP="00E43E49">
      <w:pPr>
        <w:pStyle w:val="Heading4"/>
      </w:pPr>
    </w:p>
    <w:p w:rsidR="00E43E49" w:rsidRDefault="00E43E49" w:rsidP="00E43E49">
      <w:pPr>
        <w:rPr>
          <w:b/>
        </w:rPr>
      </w:pPr>
      <w:r w:rsidRPr="003249CB">
        <w:rPr>
          <w:b/>
        </w:rPr>
        <w:t>Name five types of preference share.</w:t>
      </w:r>
    </w:p>
    <w:p w:rsidR="00E43E49" w:rsidRPr="001320C9" w:rsidRDefault="00E43E49" w:rsidP="00E43E49">
      <w:pPr>
        <w:ind w:left="720"/>
        <w:rPr>
          <w:b/>
          <w:color w:val="FF0000"/>
          <w:szCs w:val="22"/>
        </w:rPr>
      </w:pPr>
      <w:r w:rsidRPr="001320C9">
        <w:rPr>
          <w:b/>
          <w:color w:val="FF0000"/>
          <w:szCs w:val="22"/>
        </w:rPr>
        <w:t>Cumulative, non-cumulative, participating, convertible and redeemable preference shares.</w:t>
      </w:r>
    </w:p>
    <w:p w:rsidR="00E43E49" w:rsidRPr="003249CB" w:rsidRDefault="00E43E49" w:rsidP="00E43E49">
      <w:pPr>
        <w:pStyle w:val="Heading4"/>
      </w:pPr>
    </w:p>
    <w:p w:rsidR="00E43E49" w:rsidRDefault="00E43E49" w:rsidP="00E43E49">
      <w:pPr>
        <w:rPr>
          <w:b/>
        </w:rPr>
      </w:pPr>
      <w:r w:rsidRPr="003249CB">
        <w:rPr>
          <w:b/>
        </w:rPr>
        <w:t>Briefly describe five ways a new applicant may bring shares to listing on the JSE.</w:t>
      </w:r>
    </w:p>
    <w:p w:rsidR="00E43E49" w:rsidRPr="00023B36" w:rsidRDefault="00E43E49" w:rsidP="00E43E49">
      <w:pPr>
        <w:pStyle w:val="ListParagraph"/>
        <w:numPr>
          <w:ilvl w:val="0"/>
          <w:numId w:val="8"/>
        </w:numPr>
        <w:autoSpaceDE w:val="0"/>
        <w:autoSpaceDN w:val="0"/>
        <w:adjustRightInd w:val="0"/>
        <w:rPr>
          <w:b/>
          <w:color w:val="FF0000"/>
        </w:rPr>
      </w:pPr>
      <w:r w:rsidRPr="00023B36">
        <w:rPr>
          <w:b/>
          <w:color w:val="FF0000"/>
        </w:rPr>
        <w:t xml:space="preserve">An </w:t>
      </w:r>
      <w:r w:rsidRPr="00023B36">
        <w:rPr>
          <w:b/>
          <w:i/>
          <w:color w:val="FF0000"/>
        </w:rPr>
        <w:t xml:space="preserve">introduction </w:t>
      </w:r>
      <w:r w:rsidRPr="00023B36">
        <w:rPr>
          <w:b/>
          <w:color w:val="FF0000"/>
        </w:rPr>
        <w:t xml:space="preserve">is a method of bringing securities to listing when a company does not need to raise capital and its spread of shareholders already complies with the conditions for listing For example, a main board listing requires at least 20 per cent of each class of shares to be held by the public with at least 300 public </w:t>
      </w:r>
      <w:r w:rsidRPr="00023B36">
        <w:rPr>
          <w:b/>
          <w:color w:val="FF0000"/>
        </w:rPr>
        <w:lastRenderedPageBreak/>
        <w:t xml:space="preserve">shareholders for equity securities, 50 for preference shares and 25 for debentures. An introduction is the cheapest and quickest method because there is no offer to the public and minimum formalities are required. A prelisting statement is required that contains salient information about the company. </w:t>
      </w:r>
    </w:p>
    <w:p w:rsidR="00E43E49" w:rsidRPr="00023B36" w:rsidRDefault="00E43E49" w:rsidP="00E43E49">
      <w:pPr>
        <w:pStyle w:val="ListParagraph"/>
        <w:numPr>
          <w:ilvl w:val="0"/>
          <w:numId w:val="8"/>
        </w:numPr>
        <w:autoSpaceDE w:val="0"/>
        <w:autoSpaceDN w:val="0"/>
        <w:adjustRightInd w:val="0"/>
        <w:rPr>
          <w:b/>
          <w:color w:val="FF0000"/>
        </w:rPr>
      </w:pPr>
      <w:r w:rsidRPr="00023B36">
        <w:rPr>
          <w:b/>
          <w:color w:val="FF0000"/>
        </w:rPr>
        <w:t xml:space="preserve">An </w:t>
      </w:r>
      <w:r w:rsidRPr="00023B36">
        <w:rPr>
          <w:b/>
          <w:i/>
          <w:color w:val="FF0000"/>
        </w:rPr>
        <w:t>offer for sale</w:t>
      </w:r>
      <w:r w:rsidRPr="00023B36">
        <w:rPr>
          <w:b/>
          <w:color w:val="FF0000"/>
        </w:rPr>
        <w:t xml:space="preserve"> is an invitation to the public to </w:t>
      </w:r>
      <w:r w:rsidRPr="00023B36">
        <w:rPr>
          <w:b/>
          <w:i/>
          <w:color w:val="FF0000"/>
        </w:rPr>
        <w:t>purchase</w:t>
      </w:r>
      <w:r w:rsidRPr="00023B36">
        <w:rPr>
          <w:b/>
          <w:color w:val="FF0000"/>
        </w:rPr>
        <w:t xml:space="preserve"> the shares of existing shareholders. The proceeds of the sale accrue to the sellers – that is, existing shareholders. This method requires the publication of a prospectus. A public offer such as an offer for sale is generally the most expensive route to market, and is most often used by larger companies. The advantages of this method are that it allows for a wide spread of shareholders, which may increase the liquidity and improve the share price. Also, it provides an opportunity to gain public attention and interest, thereby boosting the company’s profile and visibility.</w:t>
      </w:r>
    </w:p>
    <w:p w:rsidR="00E43E49" w:rsidRPr="00023B36" w:rsidRDefault="00E43E49" w:rsidP="00E43E49">
      <w:pPr>
        <w:pStyle w:val="ListParagraph"/>
        <w:numPr>
          <w:ilvl w:val="0"/>
          <w:numId w:val="8"/>
        </w:numPr>
        <w:autoSpaceDE w:val="0"/>
        <w:autoSpaceDN w:val="0"/>
        <w:adjustRightInd w:val="0"/>
        <w:rPr>
          <w:b/>
          <w:color w:val="FF0000"/>
        </w:rPr>
      </w:pPr>
      <w:r w:rsidRPr="00023B36">
        <w:rPr>
          <w:b/>
          <w:color w:val="FF0000"/>
        </w:rPr>
        <w:t xml:space="preserve">A </w:t>
      </w:r>
      <w:r w:rsidRPr="00023B36">
        <w:rPr>
          <w:b/>
          <w:i/>
          <w:color w:val="FF0000"/>
        </w:rPr>
        <w:t>placing</w:t>
      </w:r>
      <w:r w:rsidRPr="00023B36">
        <w:rPr>
          <w:b/>
          <w:color w:val="FF0000"/>
        </w:rPr>
        <w:t xml:space="preserve"> involves offering the shares to a selected base of investors following private negotiations. The investors may be institutional investors, customers, suppliers and/or staff. A placing is generally a low-cost alternative. It requires a prelisting statement that contains salient information about the company. The advantage of a placing is that it gives a company discretion to choose its investors. On the downside it may result in a narrower shareholder base than a public offer, which may result in less liquidity.</w:t>
      </w:r>
    </w:p>
    <w:p w:rsidR="00E43E49" w:rsidRPr="00023B36" w:rsidRDefault="00E43E49" w:rsidP="00E43E49">
      <w:pPr>
        <w:pStyle w:val="ListParagraph"/>
        <w:numPr>
          <w:ilvl w:val="0"/>
          <w:numId w:val="8"/>
        </w:numPr>
        <w:autoSpaceDE w:val="0"/>
        <w:autoSpaceDN w:val="0"/>
        <w:adjustRightInd w:val="0"/>
        <w:rPr>
          <w:b/>
          <w:color w:val="FF0000"/>
        </w:rPr>
      </w:pPr>
      <w:r w:rsidRPr="00023B36">
        <w:rPr>
          <w:b/>
          <w:color w:val="FF0000"/>
        </w:rPr>
        <w:t xml:space="preserve">An </w:t>
      </w:r>
      <w:r w:rsidRPr="00023B36">
        <w:rPr>
          <w:b/>
          <w:i/>
          <w:color w:val="FF0000"/>
        </w:rPr>
        <w:t>offer for subscription</w:t>
      </w:r>
      <w:r w:rsidRPr="00023B36">
        <w:rPr>
          <w:b/>
          <w:color w:val="FF0000"/>
        </w:rPr>
        <w:t xml:space="preserve"> is an invitation to the public to </w:t>
      </w:r>
      <w:r w:rsidRPr="00023B36">
        <w:rPr>
          <w:b/>
          <w:i/>
          <w:color w:val="FF0000"/>
        </w:rPr>
        <w:t xml:space="preserve">subscribe </w:t>
      </w:r>
      <w:r w:rsidRPr="00023B36">
        <w:rPr>
          <w:b/>
          <w:color w:val="FF0000"/>
        </w:rPr>
        <w:t xml:space="preserve">for shares that are not yet in issue. The proceeds of the offer accrue to the company. This method requires the publication of a prospectus. A public offer such as an offer for subscription is generally the most expensive route to market, and is most often used by larger companies. Like an offer for sale, the advantages of this method are that it allows for a wide spread of shareholders, which may increase the liquidity and improve the share price. Also, it provides an opportunity to gain public attention and interest, thereby boosting the company’s profile and visibility. </w:t>
      </w:r>
    </w:p>
    <w:p w:rsidR="00E43E49" w:rsidRPr="00023B36" w:rsidRDefault="00E43E49" w:rsidP="00E43E49">
      <w:pPr>
        <w:pStyle w:val="ListParagraph"/>
        <w:numPr>
          <w:ilvl w:val="0"/>
          <w:numId w:val="8"/>
        </w:numPr>
        <w:autoSpaceDE w:val="0"/>
        <w:autoSpaceDN w:val="0"/>
        <w:adjustRightInd w:val="0"/>
        <w:rPr>
          <w:b/>
          <w:color w:val="FF0000"/>
        </w:rPr>
      </w:pPr>
      <w:r w:rsidRPr="00023B36">
        <w:rPr>
          <w:b/>
          <w:color w:val="FF0000"/>
        </w:rPr>
        <w:t xml:space="preserve">An </w:t>
      </w:r>
      <w:r w:rsidRPr="00023B36">
        <w:rPr>
          <w:b/>
          <w:i/>
          <w:color w:val="FF0000"/>
        </w:rPr>
        <w:t>issue with participating or conversion rights</w:t>
      </w:r>
      <w:r w:rsidRPr="00023B36">
        <w:rPr>
          <w:b/>
          <w:color w:val="FF0000"/>
        </w:rPr>
        <w:t xml:space="preserve"> refers to an issue with </w:t>
      </w:r>
      <w:r w:rsidRPr="00023B36">
        <w:rPr>
          <w:b/>
          <w:color w:val="FF0000"/>
          <w:lang w:eastAsia="en-ZA"/>
        </w:rPr>
        <w:t xml:space="preserve">participating rights to profits or equity conversion rights. Shares with conversion rights are shares that are convertible into or exchangeable for other shares, for example the conversion of ordinary shares into redeemable preference shares. </w:t>
      </w:r>
    </w:p>
    <w:p w:rsidR="00E43E49" w:rsidRPr="003249CB" w:rsidRDefault="00E43E49" w:rsidP="00E43E49">
      <w:pPr>
        <w:pStyle w:val="Heading4"/>
      </w:pPr>
    </w:p>
    <w:p w:rsidR="00E43E49" w:rsidRDefault="00E43E49" w:rsidP="00E43E49">
      <w:pPr>
        <w:rPr>
          <w:b/>
        </w:rPr>
      </w:pPr>
      <w:r w:rsidRPr="003249CB">
        <w:rPr>
          <w:b/>
        </w:rPr>
        <w:t>Using the Gordon growth model, calculate the value of a share that paid a dividend of 100 cents this year if shareholder’s required rate of return is 15 per cent and dividends are expected to grow at a constant rate of 10,5 per cent.</w:t>
      </w:r>
    </w:p>
    <w:p w:rsidR="00E43E49" w:rsidRPr="001320C9" w:rsidRDefault="00E43E49" w:rsidP="00E43E49">
      <w:pPr>
        <w:ind w:left="720"/>
        <w:rPr>
          <w:b/>
          <w:color w:val="FF0000"/>
          <w:szCs w:val="22"/>
        </w:rPr>
      </w:pPr>
      <w:r w:rsidRPr="001320C9">
        <w:rPr>
          <w:b/>
          <w:color w:val="FF0000"/>
          <w:szCs w:val="22"/>
        </w:rPr>
        <w:t>Value of share = DPS</w:t>
      </w:r>
      <w:r w:rsidRPr="001320C9">
        <w:rPr>
          <w:b/>
          <w:color w:val="FF0000"/>
          <w:szCs w:val="22"/>
          <w:vertAlign w:val="subscript"/>
        </w:rPr>
        <w:t>0</w:t>
      </w:r>
      <w:r w:rsidRPr="001320C9">
        <w:rPr>
          <w:b/>
          <w:color w:val="FF0000"/>
          <w:szCs w:val="22"/>
        </w:rPr>
        <w:t xml:space="preserve"> × (1 + growth rate)/(required rate of return – growth rate)</w:t>
      </w:r>
    </w:p>
    <w:p w:rsidR="00E43E49" w:rsidRPr="001320C9" w:rsidRDefault="00E43E49" w:rsidP="00E43E49">
      <w:pPr>
        <w:ind w:left="720"/>
        <w:rPr>
          <w:b/>
          <w:color w:val="FF0000"/>
          <w:szCs w:val="22"/>
        </w:rPr>
      </w:pPr>
      <w:r w:rsidRPr="001320C9">
        <w:rPr>
          <w:b/>
          <w:color w:val="FF0000"/>
          <w:szCs w:val="22"/>
        </w:rPr>
        <w:t>Value of share = 100 × (1 + 0,105)/(0,15 – 0,105)</w:t>
      </w:r>
    </w:p>
    <w:p w:rsidR="00E43E49" w:rsidRPr="001320C9" w:rsidRDefault="00E43E49" w:rsidP="00E43E49">
      <w:pPr>
        <w:ind w:left="720"/>
        <w:rPr>
          <w:b/>
          <w:color w:val="FF0000"/>
          <w:szCs w:val="22"/>
        </w:rPr>
      </w:pPr>
      <w:r w:rsidRPr="001320C9">
        <w:rPr>
          <w:b/>
          <w:color w:val="FF0000"/>
          <w:szCs w:val="22"/>
        </w:rPr>
        <w:t>Value of share = R24,56</w:t>
      </w:r>
    </w:p>
    <w:p w:rsidR="00E43E49" w:rsidRPr="003249CB" w:rsidRDefault="00E43E49" w:rsidP="00E43E49">
      <w:pPr>
        <w:rPr>
          <w:b/>
        </w:rPr>
      </w:pPr>
    </w:p>
    <w:p w:rsidR="00E43E49" w:rsidRPr="00EB4EC1" w:rsidRDefault="00E43E49" w:rsidP="00E43E49"/>
    <w:p w:rsidR="00E43E49" w:rsidRDefault="00E43E49" w:rsidP="00877CFF">
      <w:pPr>
        <w:pStyle w:val="Heading1"/>
        <w:jc w:val="both"/>
      </w:pPr>
      <w:bookmarkStart w:id="4" w:name="_Toc320540596"/>
      <w:bookmarkStart w:id="5" w:name="_GoBack"/>
      <w:bookmarkEnd w:id="4"/>
      <w:bookmarkEnd w:id="5"/>
    </w:p>
    <w:sectPr w:rsidR="00E43E49" w:rsidSect="00E43E49">
      <w:footerReference w:type="default" r:id="rId8"/>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502" w:rsidRDefault="00437502" w:rsidP="00877CFF">
      <w:pPr>
        <w:spacing w:after="0" w:line="240" w:lineRule="auto"/>
      </w:pPr>
      <w:r>
        <w:separator/>
      </w:r>
    </w:p>
  </w:endnote>
  <w:endnote w:type="continuationSeparator" w:id="0">
    <w:p w:rsidR="00437502" w:rsidRDefault="00437502" w:rsidP="00877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CFF" w:rsidRPr="00877CFF" w:rsidRDefault="00877CFF">
    <w:pPr>
      <w:pStyle w:val="Footer"/>
      <w:rPr>
        <w:lang w:val="en-ZA"/>
      </w:rPr>
    </w:pPr>
    <w:r>
      <w:rPr>
        <w:lang w:val="en-ZA"/>
      </w:rPr>
      <w:t>© VAN SCHAIK PUBLISHERS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502" w:rsidRDefault="00437502" w:rsidP="00877CFF">
      <w:pPr>
        <w:spacing w:after="0" w:line="240" w:lineRule="auto"/>
      </w:pPr>
      <w:r>
        <w:separator/>
      </w:r>
    </w:p>
  </w:footnote>
  <w:footnote w:type="continuationSeparator" w:id="0">
    <w:p w:rsidR="00437502" w:rsidRDefault="00437502" w:rsidP="00877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578"/>
    <w:multiLevelType w:val="hybridMultilevel"/>
    <w:tmpl w:val="37062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A6946"/>
    <w:multiLevelType w:val="hybridMultilevel"/>
    <w:tmpl w:val="A4A00020"/>
    <w:lvl w:ilvl="0" w:tplc="CA84D342">
      <w:start w:val="1"/>
      <w:numFmt w:val="upperLetter"/>
      <w:lvlText w:val="%1."/>
      <w:lvlJc w:val="left"/>
      <w:pPr>
        <w:ind w:left="720" w:hanging="360"/>
      </w:pPr>
    </w:lvl>
    <w:lvl w:ilvl="1" w:tplc="3E780592" w:tentative="1">
      <w:start w:val="1"/>
      <w:numFmt w:val="lowerLetter"/>
      <w:lvlText w:val="%2."/>
      <w:lvlJc w:val="left"/>
      <w:pPr>
        <w:ind w:left="1440" w:hanging="360"/>
      </w:pPr>
    </w:lvl>
    <w:lvl w:ilvl="2" w:tplc="35B6EED0" w:tentative="1">
      <w:start w:val="1"/>
      <w:numFmt w:val="lowerRoman"/>
      <w:lvlText w:val="%3."/>
      <w:lvlJc w:val="right"/>
      <w:pPr>
        <w:ind w:left="2160" w:hanging="180"/>
      </w:pPr>
    </w:lvl>
    <w:lvl w:ilvl="3" w:tplc="34DAD790" w:tentative="1">
      <w:start w:val="1"/>
      <w:numFmt w:val="decimal"/>
      <w:lvlText w:val="%4."/>
      <w:lvlJc w:val="left"/>
      <w:pPr>
        <w:ind w:left="2880" w:hanging="360"/>
      </w:pPr>
    </w:lvl>
    <w:lvl w:ilvl="4" w:tplc="347005EE" w:tentative="1">
      <w:start w:val="1"/>
      <w:numFmt w:val="lowerLetter"/>
      <w:lvlText w:val="%5."/>
      <w:lvlJc w:val="left"/>
      <w:pPr>
        <w:ind w:left="3600" w:hanging="360"/>
      </w:pPr>
    </w:lvl>
    <w:lvl w:ilvl="5" w:tplc="FEACD09A" w:tentative="1">
      <w:start w:val="1"/>
      <w:numFmt w:val="lowerRoman"/>
      <w:lvlText w:val="%6."/>
      <w:lvlJc w:val="right"/>
      <w:pPr>
        <w:ind w:left="4320" w:hanging="180"/>
      </w:pPr>
    </w:lvl>
    <w:lvl w:ilvl="6" w:tplc="2468371C" w:tentative="1">
      <w:start w:val="1"/>
      <w:numFmt w:val="decimal"/>
      <w:lvlText w:val="%7."/>
      <w:lvlJc w:val="left"/>
      <w:pPr>
        <w:ind w:left="5040" w:hanging="360"/>
      </w:pPr>
    </w:lvl>
    <w:lvl w:ilvl="7" w:tplc="B9BE350E" w:tentative="1">
      <w:start w:val="1"/>
      <w:numFmt w:val="lowerLetter"/>
      <w:lvlText w:val="%8."/>
      <w:lvlJc w:val="left"/>
      <w:pPr>
        <w:ind w:left="5760" w:hanging="360"/>
      </w:pPr>
    </w:lvl>
    <w:lvl w:ilvl="8" w:tplc="C7E2DDBC" w:tentative="1">
      <w:start w:val="1"/>
      <w:numFmt w:val="lowerRoman"/>
      <w:lvlText w:val="%9."/>
      <w:lvlJc w:val="right"/>
      <w:pPr>
        <w:ind w:left="6480" w:hanging="180"/>
      </w:pPr>
    </w:lvl>
  </w:abstractNum>
  <w:abstractNum w:abstractNumId="2">
    <w:nsid w:val="0ECF4BBB"/>
    <w:multiLevelType w:val="hybridMultilevel"/>
    <w:tmpl w:val="C1A6A5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53769"/>
    <w:multiLevelType w:val="hybridMultilevel"/>
    <w:tmpl w:val="57BE6DA2"/>
    <w:lvl w:ilvl="0" w:tplc="1C090017">
      <w:start w:val="1"/>
      <w:numFmt w:val="lowerLetter"/>
      <w:pStyle w:val="ListParagraph"/>
      <w:lvlText w:val="%1)"/>
      <w:lvlJc w:val="left"/>
      <w:pPr>
        <w:ind w:left="1800" w:hanging="360"/>
      </w:pPr>
    </w:lvl>
    <w:lvl w:ilvl="1" w:tplc="04090019">
      <w:start w:val="1"/>
      <w:numFmt w:val="lowerLetter"/>
      <w:lvlText w:val="%2."/>
      <w:lvlJc w:val="left"/>
      <w:pPr>
        <w:ind w:left="689" w:hanging="360"/>
      </w:pPr>
    </w:lvl>
    <w:lvl w:ilvl="2" w:tplc="0409001B">
      <w:start w:val="1"/>
      <w:numFmt w:val="lowerRoman"/>
      <w:lvlText w:val="%3."/>
      <w:lvlJc w:val="right"/>
      <w:pPr>
        <w:ind w:left="1409" w:hanging="180"/>
      </w:pPr>
    </w:lvl>
    <w:lvl w:ilvl="3" w:tplc="1C09001B">
      <w:start w:val="1"/>
      <w:numFmt w:val="lowerRoman"/>
      <w:lvlText w:val="%4."/>
      <w:lvlJc w:val="right"/>
      <w:pPr>
        <w:ind w:left="2129" w:hanging="360"/>
      </w:pPr>
    </w:lvl>
    <w:lvl w:ilvl="4" w:tplc="1C09001B">
      <w:start w:val="1"/>
      <w:numFmt w:val="lowerRoman"/>
      <w:lvlText w:val="%5."/>
      <w:lvlJc w:val="right"/>
      <w:pPr>
        <w:ind w:left="2849" w:hanging="360"/>
      </w:pPr>
    </w:lvl>
    <w:lvl w:ilvl="5" w:tplc="0409001B" w:tentative="1">
      <w:start w:val="1"/>
      <w:numFmt w:val="lowerRoman"/>
      <w:lvlText w:val="%6."/>
      <w:lvlJc w:val="right"/>
      <w:pPr>
        <w:ind w:left="3569" w:hanging="180"/>
      </w:pPr>
    </w:lvl>
    <w:lvl w:ilvl="6" w:tplc="0409000F" w:tentative="1">
      <w:start w:val="1"/>
      <w:numFmt w:val="decimal"/>
      <w:lvlText w:val="%7."/>
      <w:lvlJc w:val="left"/>
      <w:pPr>
        <w:ind w:left="4289" w:hanging="360"/>
      </w:pPr>
    </w:lvl>
    <w:lvl w:ilvl="7" w:tplc="04090019" w:tentative="1">
      <w:start w:val="1"/>
      <w:numFmt w:val="lowerLetter"/>
      <w:lvlText w:val="%8."/>
      <w:lvlJc w:val="left"/>
      <w:pPr>
        <w:ind w:left="5009" w:hanging="360"/>
      </w:pPr>
    </w:lvl>
    <w:lvl w:ilvl="8" w:tplc="0409001B" w:tentative="1">
      <w:start w:val="1"/>
      <w:numFmt w:val="lowerRoman"/>
      <w:lvlText w:val="%9."/>
      <w:lvlJc w:val="right"/>
      <w:pPr>
        <w:ind w:left="5729" w:hanging="180"/>
      </w:pPr>
    </w:lvl>
  </w:abstractNum>
  <w:abstractNum w:abstractNumId="4">
    <w:nsid w:val="1DEE5C30"/>
    <w:multiLevelType w:val="multilevel"/>
    <w:tmpl w:val="BADE7F20"/>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5">
    <w:nsid w:val="34EF7E13"/>
    <w:multiLevelType w:val="multilevel"/>
    <w:tmpl w:val="1C09001D"/>
    <w:numStyleLink w:val="Style5"/>
  </w:abstractNum>
  <w:abstractNum w:abstractNumId="6">
    <w:nsid w:val="3DC4556C"/>
    <w:multiLevelType w:val="hybridMultilevel"/>
    <w:tmpl w:val="7E3EB3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982283"/>
    <w:multiLevelType w:val="multilevel"/>
    <w:tmpl w:val="BE5418F4"/>
    <w:lvl w:ilvl="0">
      <w:start w:val="1"/>
      <w:numFmt w:val="decimal"/>
      <w:pStyle w:val="Heading4"/>
      <w:suff w:val="space"/>
      <w:lvlText w:val="Question %1"/>
      <w:lvlJc w:val="left"/>
      <w:pPr>
        <w:ind w:left="0" w:firstLine="0"/>
      </w:pPr>
      <w:rPr>
        <w:rFonts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rPr>
    </w:lvl>
    <w:lvl w:ilvl="1">
      <w:start w:val="1"/>
      <w:numFmt w:val="decimal"/>
      <w:lvlText w:val="%1.%2"/>
      <w:lvlJc w:val="left"/>
      <w:pPr>
        <w:tabs>
          <w:tab w:val="num" w:pos="-1361"/>
        </w:tabs>
        <w:ind w:left="-5104" w:firstLine="0"/>
      </w:pPr>
      <w:rPr>
        <w:rFonts w:ascii="Calibri" w:hAnsi="Calibri" w:cs="Times New Roman" w:hint="default"/>
        <w:b/>
        <w:i w:val="0"/>
        <w:color w:val="auto"/>
        <w:sz w:val="24"/>
      </w:rPr>
    </w:lvl>
    <w:lvl w:ilvl="2">
      <w:start w:val="1"/>
      <w:numFmt w:val="decimal"/>
      <w:lvlText w:val="%1.%2.%3"/>
      <w:lvlJc w:val="left"/>
      <w:pPr>
        <w:tabs>
          <w:tab w:val="num" w:pos="-1361"/>
        </w:tabs>
        <w:ind w:left="-5104" w:firstLine="0"/>
      </w:pPr>
      <w:rPr>
        <w:rFonts w:ascii="Calibri" w:hAnsi="Calibri" w:cs="Times New Roman" w:hint="default"/>
        <w:b/>
        <w:i w:val="0"/>
        <w:color w:val="auto"/>
        <w:sz w:val="22"/>
      </w:rPr>
    </w:lvl>
    <w:lvl w:ilvl="3">
      <w:start w:val="1"/>
      <w:numFmt w:val="decimal"/>
      <w:lvlText w:val="%1.%2.%3.%4"/>
      <w:lvlJc w:val="left"/>
      <w:pPr>
        <w:tabs>
          <w:tab w:val="num" w:pos="-1361"/>
        </w:tabs>
        <w:ind w:left="-5104" w:firstLine="0"/>
      </w:pPr>
      <w:rPr>
        <w:rFonts w:ascii="Calibri" w:hAnsi="Calibri" w:cs="Times New Roman" w:hint="default"/>
        <w:b/>
        <w:i/>
        <w:color w:val="0D0D0D"/>
        <w:sz w:val="22"/>
      </w:rPr>
    </w:lvl>
    <w:lvl w:ilvl="4">
      <w:start w:val="1"/>
      <w:numFmt w:val="none"/>
      <w:lvlText w:val=""/>
      <w:lvlJc w:val="left"/>
      <w:pPr>
        <w:tabs>
          <w:tab w:val="num" w:pos="-1361"/>
        </w:tabs>
        <w:ind w:left="-5104" w:firstLine="0"/>
      </w:pPr>
      <w:rPr>
        <w:rFonts w:ascii="Calibri" w:hAnsi="Calibri" w:cs="Times New Roman" w:hint="default"/>
        <w:b w:val="0"/>
        <w:i w:val="0"/>
        <w:color w:val="auto"/>
        <w:sz w:val="22"/>
      </w:rPr>
    </w:lvl>
    <w:lvl w:ilvl="5">
      <w:start w:val="1"/>
      <w:numFmt w:val="lowerRoman"/>
      <w:lvlText w:val="(%6)"/>
      <w:lvlJc w:val="left"/>
      <w:pPr>
        <w:tabs>
          <w:tab w:val="num" w:pos="-1361"/>
        </w:tabs>
        <w:ind w:left="-5104" w:firstLine="0"/>
      </w:pPr>
      <w:rPr>
        <w:rFonts w:cs="Times New Roman" w:hint="default"/>
      </w:rPr>
    </w:lvl>
    <w:lvl w:ilvl="6">
      <w:start w:val="1"/>
      <w:numFmt w:val="decimal"/>
      <w:lvlText w:val="%7."/>
      <w:lvlJc w:val="left"/>
      <w:pPr>
        <w:tabs>
          <w:tab w:val="num" w:pos="-1361"/>
        </w:tabs>
        <w:ind w:left="-5104" w:firstLine="0"/>
      </w:pPr>
      <w:rPr>
        <w:rFonts w:cs="Times New Roman" w:hint="default"/>
      </w:rPr>
    </w:lvl>
    <w:lvl w:ilvl="7">
      <w:start w:val="1"/>
      <w:numFmt w:val="lowerLetter"/>
      <w:lvlText w:val="%8."/>
      <w:lvlJc w:val="left"/>
      <w:pPr>
        <w:tabs>
          <w:tab w:val="num" w:pos="-1361"/>
        </w:tabs>
        <w:ind w:left="-5104" w:firstLine="0"/>
      </w:pPr>
      <w:rPr>
        <w:rFonts w:cs="Times New Roman" w:hint="default"/>
      </w:rPr>
    </w:lvl>
    <w:lvl w:ilvl="8">
      <w:start w:val="1"/>
      <w:numFmt w:val="lowerRoman"/>
      <w:lvlText w:val="%9."/>
      <w:lvlJc w:val="left"/>
      <w:pPr>
        <w:tabs>
          <w:tab w:val="num" w:pos="-1361"/>
        </w:tabs>
        <w:ind w:left="-5104" w:firstLine="0"/>
      </w:pPr>
      <w:rPr>
        <w:rFonts w:cs="Times New Roman" w:hint="default"/>
      </w:rPr>
    </w:lvl>
  </w:abstractNum>
  <w:abstractNum w:abstractNumId="8">
    <w:nsid w:val="4E1B152D"/>
    <w:multiLevelType w:val="multilevel"/>
    <w:tmpl w:val="1C09001D"/>
    <w:styleLink w:val="Style5"/>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553345ED"/>
    <w:multiLevelType w:val="multilevel"/>
    <w:tmpl w:val="CA86FCAE"/>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0">
    <w:nsid w:val="55E3377F"/>
    <w:multiLevelType w:val="hybridMultilevel"/>
    <w:tmpl w:val="611613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297E45"/>
    <w:multiLevelType w:val="hybridMultilevel"/>
    <w:tmpl w:val="E6641B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1449F4"/>
    <w:multiLevelType w:val="multilevel"/>
    <w:tmpl w:val="CA86FCAE"/>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3">
    <w:nsid w:val="65761F3F"/>
    <w:multiLevelType w:val="hybridMultilevel"/>
    <w:tmpl w:val="C49873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62564B3"/>
    <w:multiLevelType w:val="multilevel"/>
    <w:tmpl w:val="FE5CD1E8"/>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942577F"/>
    <w:multiLevelType w:val="hybridMultilevel"/>
    <w:tmpl w:val="15583E64"/>
    <w:lvl w:ilvl="0" w:tplc="EABCACF4">
      <w:start w:val="1"/>
      <w:numFmt w:val="upperLetter"/>
      <w:lvlText w:val="%1."/>
      <w:lvlJc w:val="left"/>
      <w:pPr>
        <w:ind w:left="720" w:hanging="360"/>
      </w:pPr>
    </w:lvl>
    <w:lvl w:ilvl="1" w:tplc="BE4CF726">
      <w:start w:val="1"/>
      <w:numFmt w:val="lowerLetter"/>
      <w:lvlText w:val="%2."/>
      <w:lvlJc w:val="left"/>
      <w:pPr>
        <w:ind w:left="1440" w:hanging="360"/>
      </w:pPr>
    </w:lvl>
    <w:lvl w:ilvl="2" w:tplc="2B746378">
      <w:start w:val="1"/>
      <w:numFmt w:val="lowerRoman"/>
      <w:lvlText w:val="%3."/>
      <w:lvlJc w:val="right"/>
      <w:pPr>
        <w:ind w:left="2160" w:hanging="180"/>
      </w:pPr>
    </w:lvl>
    <w:lvl w:ilvl="3" w:tplc="829C08D4">
      <w:start w:val="1"/>
      <w:numFmt w:val="decimal"/>
      <w:lvlText w:val="%4."/>
      <w:lvlJc w:val="left"/>
      <w:pPr>
        <w:ind w:left="2880" w:hanging="360"/>
      </w:pPr>
    </w:lvl>
    <w:lvl w:ilvl="4" w:tplc="093A51B2">
      <w:start w:val="1"/>
      <w:numFmt w:val="lowerLetter"/>
      <w:lvlText w:val="%5."/>
      <w:lvlJc w:val="left"/>
      <w:pPr>
        <w:ind w:left="3600" w:hanging="360"/>
      </w:pPr>
    </w:lvl>
    <w:lvl w:ilvl="5" w:tplc="886C1110">
      <w:start w:val="1"/>
      <w:numFmt w:val="lowerRoman"/>
      <w:lvlText w:val="%6."/>
      <w:lvlJc w:val="right"/>
      <w:pPr>
        <w:ind w:left="4320" w:hanging="180"/>
      </w:pPr>
    </w:lvl>
    <w:lvl w:ilvl="6" w:tplc="DFA2023E" w:tentative="1">
      <w:start w:val="1"/>
      <w:numFmt w:val="decimal"/>
      <w:lvlText w:val="%7."/>
      <w:lvlJc w:val="left"/>
      <w:pPr>
        <w:ind w:left="5040" w:hanging="360"/>
      </w:pPr>
    </w:lvl>
    <w:lvl w:ilvl="7" w:tplc="56706806" w:tentative="1">
      <w:start w:val="1"/>
      <w:numFmt w:val="lowerLetter"/>
      <w:lvlText w:val="%8."/>
      <w:lvlJc w:val="left"/>
      <w:pPr>
        <w:ind w:left="5760" w:hanging="360"/>
      </w:pPr>
    </w:lvl>
    <w:lvl w:ilvl="8" w:tplc="1214C69C" w:tentative="1">
      <w:start w:val="1"/>
      <w:numFmt w:val="lowerRoman"/>
      <w:lvlText w:val="%9."/>
      <w:lvlJc w:val="right"/>
      <w:pPr>
        <w:ind w:left="6480" w:hanging="180"/>
      </w:pPr>
    </w:lvl>
  </w:abstractNum>
  <w:abstractNum w:abstractNumId="16">
    <w:nsid w:val="6BCC4965"/>
    <w:multiLevelType w:val="hybridMultilevel"/>
    <w:tmpl w:val="8D30D702"/>
    <w:lvl w:ilvl="0" w:tplc="02C23D4E">
      <w:start w:val="1"/>
      <w:numFmt w:val="upperLetter"/>
      <w:lvlText w:val="%1."/>
      <w:lvlJc w:val="left"/>
      <w:pPr>
        <w:ind w:left="720" w:hanging="360"/>
      </w:pPr>
    </w:lvl>
    <w:lvl w:ilvl="1" w:tplc="3374321A" w:tentative="1">
      <w:start w:val="1"/>
      <w:numFmt w:val="lowerLetter"/>
      <w:lvlText w:val="%2."/>
      <w:lvlJc w:val="left"/>
      <w:pPr>
        <w:ind w:left="1440" w:hanging="360"/>
      </w:pPr>
    </w:lvl>
    <w:lvl w:ilvl="2" w:tplc="80A0D9EE" w:tentative="1">
      <w:start w:val="1"/>
      <w:numFmt w:val="lowerRoman"/>
      <w:lvlText w:val="%3."/>
      <w:lvlJc w:val="right"/>
      <w:pPr>
        <w:ind w:left="2160" w:hanging="180"/>
      </w:pPr>
    </w:lvl>
    <w:lvl w:ilvl="3" w:tplc="F97E15C2" w:tentative="1">
      <w:start w:val="1"/>
      <w:numFmt w:val="decimal"/>
      <w:lvlText w:val="%4."/>
      <w:lvlJc w:val="left"/>
      <w:pPr>
        <w:ind w:left="2880" w:hanging="360"/>
      </w:pPr>
    </w:lvl>
    <w:lvl w:ilvl="4" w:tplc="2D08097E" w:tentative="1">
      <w:start w:val="1"/>
      <w:numFmt w:val="lowerLetter"/>
      <w:lvlText w:val="%5."/>
      <w:lvlJc w:val="left"/>
      <w:pPr>
        <w:ind w:left="3600" w:hanging="360"/>
      </w:pPr>
    </w:lvl>
    <w:lvl w:ilvl="5" w:tplc="70E81816" w:tentative="1">
      <w:start w:val="1"/>
      <w:numFmt w:val="lowerRoman"/>
      <w:lvlText w:val="%6."/>
      <w:lvlJc w:val="right"/>
      <w:pPr>
        <w:ind w:left="4320" w:hanging="180"/>
      </w:pPr>
    </w:lvl>
    <w:lvl w:ilvl="6" w:tplc="826E5A18" w:tentative="1">
      <w:start w:val="1"/>
      <w:numFmt w:val="decimal"/>
      <w:lvlText w:val="%7."/>
      <w:lvlJc w:val="left"/>
      <w:pPr>
        <w:ind w:left="5040" w:hanging="360"/>
      </w:pPr>
    </w:lvl>
    <w:lvl w:ilvl="7" w:tplc="D8CEF3C4" w:tentative="1">
      <w:start w:val="1"/>
      <w:numFmt w:val="lowerLetter"/>
      <w:lvlText w:val="%8."/>
      <w:lvlJc w:val="left"/>
      <w:pPr>
        <w:ind w:left="5760" w:hanging="360"/>
      </w:pPr>
    </w:lvl>
    <w:lvl w:ilvl="8" w:tplc="6D52730C" w:tentative="1">
      <w:start w:val="1"/>
      <w:numFmt w:val="lowerRoman"/>
      <w:lvlText w:val="%9."/>
      <w:lvlJc w:val="right"/>
      <w:pPr>
        <w:ind w:left="6480" w:hanging="180"/>
      </w:pPr>
    </w:lvl>
  </w:abstractNum>
  <w:abstractNum w:abstractNumId="17">
    <w:nsid w:val="6FA42457"/>
    <w:multiLevelType w:val="hybridMultilevel"/>
    <w:tmpl w:val="6172D1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B758A9"/>
    <w:multiLevelType w:val="hybridMultilevel"/>
    <w:tmpl w:val="562AF2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5"/>
  </w:num>
  <w:num w:numId="5">
    <w:abstractNumId w:val="9"/>
  </w:num>
  <w:num w:numId="6">
    <w:abstractNumId w:val="12"/>
  </w:num>
  <w:num w:numId="7">
    <w:abstractNumId w:val="13"/>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10"/>
  </w:num>
  <w:num w:numId="14">
    <w:abstractNumId w:val="6"/>
  </w:num>
  <w:num w:numId="15">
    <w:abstractNumId w:val="14"/>
  </w:num>
  <w:num w:numId="16">
    <w:abstractNumId w:val="15"/>
  </w:num>
  <w:num w:numId="17">
    <w:abstractNumId w:val="16"/>
  </w:num>
  <w:num w:numId="18">
    <w:abstractNumId w:val="18"/>
  </w:num>
  <w:num w:numId="19">
    <w:abstractNumId w:val="1"/>
  </w:num>
  <w:num w:numId="20">
    <w:abstractNumId w:val="17"/>
  </w:num>
  <w:num w:numId="21">
    <w:abstractNumId w:val="11"/>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49"/>
    <w:rsid w:val="000567D2"/>
    <w:rsid w:val="00077A7A"/>
    <w:rsid w:val="000E4924"/>
    <w:rsid w:val="00102E24"/>
    <w:rsid w:val="001242CD"/>
    <w:rsid w:val="00183DA5"/>
    <w:rsid w:val="001A4E31"/>
    <w:rsid w:val="001A57F6"/>
    <w:rsid w:val="001E3B47"/>
    <w:rsid w:val="001E64C6"/>
    <w:rsid w:val="002A1C18"/>
    <w:rsid w:val="00342F72"/>
    <w:rsid w:val="0035591B"/>
    <w:rsid w:val="00362089"/>
    <w:rsid w:val="003628F6"/>
    <w:rsid w:val="00364AF7"/>
    <w:rsid w:val="003B6572"/>
    <w:rsid w:val="003C7E6A"/>
    <w:rsid w:val="003D55C4"/>
    <w:rsid w:val="003E716F"/>
    <w:rsid w:val="00424B8F"/>
    <w:rsid w:val="0043366E"/>
    <w:rsid w:val="00437502"/>
    <w:rsid w:val="00455E81"/>
    <w:rsid w:val="00490BCD"/>
    <w:rsid w:val="004C2B9F"/>
    <w:rsid w:val="004D7511"/>
    <w:rsid w:val="00514B02"/>
    <w:rsid w:val="00527688"/>
    <w:rsid w:val="00547CCC"/>
    <w:rsid w:val="005C5228"/>
    <w:rsid w:val="005E1907"/>
    <w:rsid w:val="00616393"/>
    <w:rsid w:val="00683E99"/>
    <w:rsid w:val="0071101C"/>
    <w:rsid w:val="007C1A97"/>
    <w:rsid w:val="00876D8C"/>
    <w:rsid w:val="00877CFF"/>
    <w:rsid w:val="008921EE"/>
    <w:rsid w:val="00893B93"/>
    <w:rsid w:val="008A64C2"/>
    <w:rsid w:val="008B6F0F"/>
    <w:rsid w:val="00950627"/>
    <w:rsid w:val="00985C29"/>
    <w:rsid w:val="00996BAC"/>
    <w:rsid w:val="009A17C7"/>
    <w:rsid w:val="009A2162"/>
    <w:rsid w:val="009C04F1"/>
    <w:rsid w:val="009D31D4"/>
    <w:rsid w:val="009E0874"/>
    <w:rsid w:val="00A569AF"/>
    <w:rsid w:val="00AE0704"/>
    <w:rsid w:val="00B066B5"/>
    <w:rsid w:val="00B23A2D"/>
    <w:rsid w:val="00B43E9E"/>
    <w:rsid w:val="00B46E85"/>
    <w:rsid w:val="00C17994"/>
    <w:rsid w:val="00C17E09"/>
    <w:rsid w:val="00C457A7"/>
    <w:rsid w:val="00CC18B4"/>
    <w:rsid w:val="00E43E49"/>
    <w:rsid w:val="00E502A2"/>
    <w:rsid w:val="00E74CC0"/>
    <w:rsid w:val="00F0632E"/>
    <w:rsid w:val="00F27EB4"/>
    <w:rsid w:val="00F764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E49"/>
    <w:pPr>
      <w:spacing w:after="120" w:line="276" w:lineRule="auto"/>
      <w:jc w:val="both"/>
    </w:pPr>
    <w:rPr>
      <w:rFonts w:asciiTheme="minorHAnsi" w:hAnsiTheme="minorHAnsi" w:cstheme="minorHAnsi"/>
      <w:color w:val="000000"/>
      <w:sz w:val="22"/>
      <w:szCs w:val="24"/>
      <w:lang w:val="en-GB" w:eastAsia="en-US"/>
    </w:rPr>
  </w:style>
  <w:style w:type="paragraph" w:styleId="Heading1">
    <w:name w:val="heading 1"/>
    <w:basedOn w:val="Normal"/>
    <w:next w:val="Normal"/>
    <w:link w:val="Heading1Char"/>
    <w:autoRedefine/>
    <w:qFormat/>
    <w:rsid w:val="00E43E49"/>
    <w:pPr>
      <w:keepNext/>
      <w:spacing w:before="120" w:after="0"/>
      <w:contextualSpacing/>
      <w:jc w:val="center"/>
      <w:outlineLvl w:val="0"/>
    </w:pPr>
    <w:rPr>
      <w:rFonts w:asciiTheme="majorHAnsi" w:hAnsiTheme="majorHAnsi"/>
      <w:b/>
      <w:bCs/>
      <w:smallCaps/>
      <w:sz w:val="44"/>
      <w:szCs w:val="52"/>
    </w:rPr>
  </w:style>
  <w:style w:type="paragraph" w:styleId="Heading2">
    <w:name w:val="heading 2"/>
    <w:basedOn w:val="Heading1"/>
    <w:next w:val="Normal"/>
    <w:link w:val="Heading2Char"/>
    <w:qFormat/>
    <w:rsid w:val="00E43E49"/>
    <w:pPr>
      <w:shd w:val="clear" w:color="auto" w:fill="D9D9D9" w:themeFill="background1" w:themeFillShade="D9"/>
      <w:spacing w:before="0"/>
      <w:outlineLvl w:val="1"/>
    </w:pPr>
  </w:style>
  <w:style w:type="paragraph" w:styleId="Heading3">
    <w:name w:val="heading 3"/>
    <w:basedOn w:val="Normal"/>
    <w:next w:val="Normal"/>
    <w:link w:val="Heading3Char"/>
    <w:qFormat/>
    <w:rsid w:val="00E43E49"/>
    <w:pPr>
      <w:keepNext/>
      <w:pBdr>
        <w:top w:val="single" w:sz="4" w:space="1" w:color="auto"/>
        <w:bottom w:val="single" w:sz="4" w:space="1" w:color="auto"/>
      </w:pBdr>
      <w:shd w:val="clear" w:color="auto" w:fill="D9D9D9" w:themeFill="background1" w:themeFillShade="D9"/>
      <w:spacing w:before="240"/>
      <w:jc w:val="left"/>
      <w:outlineLvl w:val="2"/>
    </w:pPr>
    <w:rPr>
      <w:b/>
      <w:bCs/>
      <w:smallCaps/>
      <w:color w:val="auto"/>
      <w:sz w:val="36"/>
    </w:rPr>
  </w:style>
  <w:style w:type="paragraph" w:styleId="Heading4">
    <w:name w:val="heading 4"/>
    <w:basedOn w:val="Normal"/>
    <w:next w:val="Normal"/>
    <w:link w:val="Heading4Char"/>
    <w:qFormat/>
    <w:rsid w:val="00E43E49"/>
    <w:pPr>
      <w:keepNext/>
      <w:numPr>
        <w:numId w:val="2"/>
      </w:numPr>
      <w:pBdr>
        <w:bottom w:val="single" w:sz="4" w:space="1" w:color="auto"/>
      </w:pBdr>
      <w:spacing w:before="360"/>
      <w:jc w:val="lef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3E49"/>
    <w:rPr>
      <w:rFonts w:asciiTheme="majorHAnsi" w:hAnsiTheme="majorHAnsi" w:cstheme="minorHAnsi"/>
      <w:b/>
      <w:bCs/>
      <w:smallCaps/>
      <w:color w:val="000000"/>
      <w:sz w:val="44"/>
      <w:szCs w:val="52"/>
      <w:lang w:val="en-GB" w:eastAsia="en-US"/>
    </w:rPr>
  </w:style>
  <w:style w:type="character" w:customStyle="1" w:styleId="Heading2Char">
    <w:name w:val="Heading 2 Char"/>
    <w:basedOn w:val="DefaultParagraphFont"/>
    <w:link w:val="Heading2"/>
    <w:rsid w:val="00E43E49"/>
    <w:rPr>
      <w:rFonts w:asciiTheme="majorHAnsi" w:hAnsiTheme="majorHAnsi" w:cstheme="minorHAnsi"/>
      <w:b/>
      <w:bCs/>
      <w:smallCaps/>
      <w:color w:val="000000"/>
      <w:sz w:val="44"/>
      <w:szCs w:val="52"/>
      <w:shd w:val="clear" w:color="auto" w:fill="D9D9D9" w:themeFill="background1" w:themeFillShade="D9"/>
      <w:lang w:val="en-GB" w:eastAsia="en-US"/>
    </w:rPr>
  </w:style>
  <w:style w:type="character" w:customStyle="1" w:styleId="Heading3Char">
    <w:name w:val="Heading 3 Char"/>
    <w:basedOn w:val="DefaultParagraphFont"/>
    <w:link w:val="Heading3"/>
    <w:rsid w:val="00E43E49"/>
    <w:rPr>
      <w:rFonts w:asciiTheme="minorHAnsi" w:hAnsiTheme="minorHAnsi" w:cstheme="minorHAnsi"/>
      <w:b/>
      <w:bCs/>
      <w:smallCaps/>
      <w:sz w:val="36"/>
      <w:szCs w:val="24"/>
      <w:shd w:val="clear" w:color="auto" w:fill="D9D9D9" w:themeFill="background1" w:themeFillShade="D9"/>
      <w:lang w:val="en-GB" w:eastAsia="en-US"/>
    </w:rPr>
  </w:style>
  <w:style w:type="character" w:customStyle="1" w:styleId="Heading4Char">
    <w:name w:val="Heading 4 Char"/>
    <w:basedOn w:val="DefaultParagraphFont"/>
    <w:link w:val="Heading4"/>
    <w:rsid w:val="00E43E49"/>
    <w:rPr>
      <w:rFonts w:asciiTheme="minorHAnsi" w:hAnsiTheme="minorHAnsi" w:cstheme="minorHAnsi"/>
      <w:b/>
      <w:bCs/>
      <w:color w:val="000000"/>
      <w:sz w:val="22"/>
      <w:szCs w:val="24"/>
      <w:lang w:val="en-GB" w:eastAsia="en-US"/>
    </w:rPr>
  </w:style>
  <w:style w:type="paragraph" w:styleId="ListParagraph">
    <w:name w:val="List Paragraph"/>
    <w:basedOn w:val="Normal"/>
    <w:link w:val="ListParagraphChar"/>
    <w:uiPriority w:val="99"/>
    <w:qFormat/>
    <w:rsid w:val="00E43E49"/>
    <w:pPr>
      <w:numPr>
        <w:numId w:val="1"/>
      </w:numPr>
      <w:spacing w:after="0" w:line="360" w:lineRule="auto"/>
      <w:contextualSpacing/>
      <w:jc w:val="left"/>
    </w:pPr>
    <w:rPr>
      <w:rFonts w:cs="Arial"/>
      <w:szCs w:val="22"/>
      <w:lang w:val="en-ZA"/>
    </w:rPr>
  </w:style>
  <w:style w:type="character" w:customStyle="1" w:styleId="ListParagraphChar">
    <w:name w:val="List Paragraph Char"/>
    <w:link w:val="ListParagraph"/>
    <w:uiPriority w:val="99"/>
    <w:rsid w:val="00E43E49"/>
    <w:rPr>
      <w:rFonts w:asciiTheme="minorHAnsi" w:hAnsiTheme="minorHAnsi" w:cs="Arial"/>
      <w:color w:val="000000"/>
      <w:sz w:val="22"/>
      <w:szCs w:val="22"/>
      <w:lang w:eastAsia="en-US"/>
    </w:rPr>
  </w:style>
  <w:style w:type="paragraph" w:styleId="NoSpacing">
    <w:name w:val="No Spacing"/>
    <w:basedOn w:val="Normal"/>
    <w:qFormat/>
    <w:rsid w:val="00E43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Pr>
      <w:rFonts w:ascii="Calibri" w:hAnsi="Calibri" w:cs="Courier New"/>
      <w:szCs w:val="20"/>
      <w:lang w:eastAsia="en-ZA"/>
    </w:rPr>
  </w:style>
  <w:style w:type="numbering" w:customStyle="1" w:styleId="Style5">
    <w:name w:val="Style5"/>
    <w:rsid w:val="00E43E49"/>
    <w:pPr>
      <w:numPr>
        <w:numId w:val="3"/>
      </w:numPr>
    </w:pPr>
  </w:style>
  <w:style w:type="paragraph" w:styleId="Header">
    <w:name w:val="header"/>
    <w:basedOn w:val="Normal"/>
    <w:link w:val="HeaderChar"/>
    <w:rsid w:val="00877CFF"/>
    <w:pPr>
      <w:tabs>
        <w:tab w:val="center" w:pos="4513"/>
        <w:tab w:val="right" w:pos="9026"/>
      </w:tabs>
      <w:spacing w:after="0" w:line="240" w:lineRule="auto"/>
    </w:pPr>
  </w:style>
  <w:style w:type="character" w:customStyle="1" w:styleId="HeaderChar">
    <w:name w:val="Header Char"/>
    <w:basedOn w:val="DefaultParagraphFont"/>
    <w:link w:val="Header"/>
    <w:rsid w:val="00877CFF"/>
    <w:rPr>
      <w:rFonts w:asciiTheme="minorHAnsi" w:hAnsiTheme="minorHAnsi" w:cstheme="minorHAnsi"/>
      <w:color w:val="000000"/>
      <w:sz w:val="22"/>
      <w:szCs w:val="24"/>
      <w:lang w:val="en-GB" w:eastAsia="en-US"/>
    </w:rPr>
  </w:style>
  <w:style w:type="paragraph" w:styleId="Footer">
    <w:name w:val="footer"/>
    <w:basedOn w:val="Normal"/>
    <w:link w:val="FooterChar"/>
    <w:uiPriority w:val="99"/>
    <w:rsid w:val="00877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CFF"/>
    <w:rPr>
      <w:rFonts w:asciiTheme="minorHAnsi" w:hAnsiTheme="minorHAnsi" w:cstheme="minorHAnsi"/>
      <w:color w:val="000000"/>
      <w:sz w:val="22"/>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E49"/>
    <w:pPr>
      <w:spacing w:after="120" w:line="276" w:lineRule="auto"/>
      <w:jc w:val="both"/>
    </w:pPr>
    <w:rPr>
      <w:rFonts w:asciiTheme="minorHAnsi" w:hAnsiTheme="minorHAnsi" w:cstheme="minorHAnsi"/>
      <w:color w:val="000000"/>
      <w:sz w:val="22"/>
      <w:szCs w:val="24"/>
      <w:lang w:val="en-GB" w:eastAsia="en-US"/>
    </w:rPr>
  </w:style>
  <w:style w:type="paragraph" w:styleId="Heading1">
    <w:name w:val="heading 1"/>
    <w:basedOn w:val="Normal"/>
    <w:next w:val="Normal"/>
    <w:link w:val="Heading1Char"/>
    <w:autoRedefine/>
    <w:qFormat/>
    <w:rsid w:val="00E43E49"/>
    <w:pPr>
      <w:keepNext/>
      <w:spacing w:before="120" w:after="0"/>
      <w:contextualSpacing/>
      <w:jc w:val="center"/>
      <w:outlineLvl w:val="0"/>
    </w:pPr>
    <w:rPr>
      <w:rFonts w:asciiTheme="majorHAnsi" w:hAnsiTheme="majorHAnsi"/>
      <w:b/>
      <w:bCs/>
      <w:smallCaps/>
      <w:sz w:val="44"/>
      <w:szCs w:val="52"/>
    </w:rPr>
  </w:style>
  <w:style w:type="paragraph" w:styleId="Heading2">
    <w:name w:val="heading 2"/>
    <w:basedOn w:val="Heading1"/>
    <w:next w:val="Normal"/>
    <w:link w:val="Heading2Char"/>
    <w:qFormat/>
    <w:rsid w:val="00E43E49"/>
    <w:pPr>
      <w:shd w:val="clear" w:color="auto" w:fill="D9D9D9" w:themeFill="background1" w:themeFillShade="D9"/>
      <w:spacing w:before="0"/>
      <w:outlineLvl w:val="1"/>
    </w:pPr>
  </w:style>
  <w:style w:type="paragraph" w:styleId="Heading3">
    <w:name w:val="heading 3"/>
    <w:basedOn w:val="Normal"/>
    <w:next w:val="Normal"/>
    <w:link w:val="Heading3Char"/>
    <w:qFormat/>
    <w:rsid w:val="00E43E49"/>
    <w:pPr>
      <w:keepNext/>
      <w:pBdr>
        <w:top w:val="single" w:sz="4" w:space="1" w:color="auto"/>
        <w:bottom w:val="single" w:sz="4" w:space="1" w:color="auto"/>
      </w:pBdr>
      <w:shd w:val="clear" w:color="auto" w:fill="D9D9D9" w:themeFill="background1" w:themeFillShade="D9"/>
      <w:spacing w:before="240"/>
      <w:jc w:val="left"/>
      <w:outlineLvl w:val="2"/>
    </w:pPr>
    <w:rPr>
      <w:b/>
      <w:bCs/>
      <w:smallCaps/>
      <w:color w:val="auto"/>
      <w:sz w:val="36"/>
    </w:rPr>
  </w:style>
  <w:style w:type="paragraph" w:styleId="Heading4">
    <w:name w:val="heading 4"/>
    <w:basedOn w:val="Normal"/>
    <w:next w:val="Normal"/>
    <w:link w:val="Heading4Char"/>
    <w:qFormat/>
    <w:rsid w:val="00E43E49"/>
    <w:pPr>
      <w:keepNext/>
      <w:numPr>
        <w:numId w:val="2"/>
      </w:numPr>
      <w:pBdr>
        <w:bottom w:val="single" w:sz="4" w:space="1" w:color="auto"/>
      </w:pBdr>
      <w:spacing w:before="360"/>
      <w:jc w:val="lef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3E49"/>
    <w:rPr>
      <w:rFonts w:asciiTheme="majorHAnsi" w:hAnsiTheme="majorHAnsi" w:cstheme="minorHAnsi"/>
      <w:b/>
      <w:bCs/>
      <w:smallCaps/>
      <w:color w:val="000000"/>
      <w:sz w:val="44"/>
      <w:szCs w:val="52"/>
      <w:lang w:val="en-GB" w:eastAsia="en-US"/>
    </w:rPr>
  </w:style>
  <w:style w:type="character" w:customStyle="1" w:styleId="Heading2Char">
    <w:name w:val="Heading 2 Char"/>
    <w:basedOn w:val="DefaultParagraphFont"/>
    <w:link w:val="Heading2"/>
    <w:rsid w:val="00E43E49"/>
    <w:rPr>
      <w:rFonts w:asciiTheme="majorHAnsi" w:hAnsiTheme="majorHAnsi" w:cstheme="minorHAnsi"/>
      <w:b/>
      <w:bCs/>
      <w:smallCaps/>
      <w:color w:val="000000"/>
      <w:sz w:val="44"/>
      <w:szCs w:val="52"/>
      <w:shd w:val="clear" w:color="auto" w:fill="D9D9D9" w:themeFill="background1" w:themeFillShade="D9"/>
      <w:lang w:val="en-GB" w:eastAsia="en-US"/>
    </w:rPr>
  </w:style>
  <w:style w:type="character" w:customStyle="1" w:styleId="Heading3Char">
    <w:name w:val="Heading 3 Char"/>
    <w:basedOn w:val="DefaultParagraphFont"/>
    <w:link w:val="Heading3"/>
    <w:rsid w:val="00E43E49"/>
    <w:rPr>
      <w:rFonts w:asciiTheme="minorHAnsi" w:hAnsiTheme="minorHAnsi" w:cstheme="minorHAnsi"/>
      <w:b/>
      <w:bCs/>
      <w:smallCaps/>
      <w:sz w:val="36"/>
      <w:szCs w:val="24"/>
      <w:shd w:val="clear" w:color="auto" w:fill="D9D9D9" w:themeFill="background1" w:themeFillShade="D9"/>
      <w:lang w:val="en-GB" w:eastAsia="en-US"/>
    </w:rPr>
  </w:style>
  <w:style w:type="character" w:customStyle="1" w:styleId="Heading4Char">
    <w:name w:val="Heading 4 Char"/>
    <w:basedOn w:val="DefaultParagraphFont"/>
    <w:link w:val="Heading4"/>
    <w:rsid w:val="00E43E49"/>
    <w:rPr>
      <w:rFonts w:asciiTheme="minorHAnsi" w:hAnsiTheme="minorHAnsi" w:cstheme="minorHAnsi"/>
      <w:b/>
      <w:bCs/>
      <w:color w:val="000000"/>
      <w:sz w:val="22"/>
      <w:szCs w:val="24"/>
      <w:lang w:val="en-GB" w:eastAsia="en-US"/>
    </w:rPr>
  </w:style>
  <w:style w:type="paragraph" w:styleId="ListParagraph">
    <w:name w:val="List Paragraph"/>
    <w:basedOn w:val="Normal"/>
    <w:link w:val="ListParagraphChar"/>
    <w:uiPriority w:val="99"/>
    <w:qFormat/>
    <w:rsid w:val="00E43E49"/>
    <w:pPr>
      <w:numPr>
        <w:numId w:val="1"/>
      </w:numPr>
      <w:spacing w:after="0" w:line="360" w:lineRule="auto"/>
      <w:contextualSpacing/>
      <w:jc w:val="left"/>
    </w:pPr>
    <w:rPr>
      <w:rFonts w:cs="Arial"/>
      <w:szCs w:val="22"/>
      <w:lang w:val="en-ZA"/>
    </w:rPr>
  </w:style>
  <w:style w:type="character" w:customStyle="1" w:styleId="ListParagraphChar">
    <w:name w:val="List Paragraph Char"/>
    <w:link w:val="ListParagraph"/>
    <w:uiPriority w:val="99"/>
    <w:rsid w:val="00E43E49"/>
    <w:rPr>
      <w:rFonts w:asciiTheme="minorHAnsi" w:hAnsiTheme="minorHAnsi" w:cs="Arial"/>
      <w:color w:val="000000"/>
      <w:sz w:val="22"/>
      <w:szCs w:val="22"/>
      <w:lang w:eastAsia="en-US"/>
    </w:rPr>
  </w:style>
  <w:style w:type="paragraph" w:styleId="NoSpacing">
    <w:name w:val="No Spacing"/>
    <w:basedOn w:val="Normal"/>
    <w:qFormat/>
    <w:rsid w:val="00E43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Pr>
      <w:rFonts w:ascii="Calibri" w:hAnsi="Calibri" w:cs="Courier New"/>
      <w:szCs w:val="20"/>
      <w:lang w:eastAsia="en-ZA"/>
    </w:rPr>
  </w:style>
  <w:style w:type="numbering" w:customStyle="1" w:styleId="Style5">
    <w:name w:val="Style5"/>
    <w:rsid w:val="00E43E49"/>
    <w:pPr>
      <w:numPr>
        <w:numId w:val="3"/>
      </w:numPr>
    </w:pPr>
  </w:style>
  <w:style w:type="paragraph" w:styleId="Header">
    <w:name w:val="header"/>
    <w:basedOn w:val="Normal"/>
    <w:link w:val="HeaderChar"/>
    <w:rsid w:val="00877CFF"/>
    <w:pPr>
      <w:tabs>
        <w:tab w:val="center" w:pos="4513"/>
        <w:tab w:val="right" w:pos="9026"/>
      </w:tabs>
      <w:spacing w:after="0" w:line="240" w:lineRule="auto"/>
    </w:pPr>
  </w:style>
  <w:style w:type="character" w:customStyle="1" w:styleId="HeaderChar">
    <w:name w:val="Header Char"/>
    <w:basedOn w:val="DefaultParagraphFont"/>
    <w:link w:val="Header"/>
    <w:rsid w:val="00877CFF"/>
    <w:rPr>
      <w:rFonts w:asciiTheme="minorHAnsi" w:hAnsiTheme="minorHAnsi" w:cstheme="minorHAnsi"/>
      <w:color w:val="000000"/>
      <w:sz w:val="22"/>
      <w:szCs w:val="24"/>
      <w:lang w:val="en-GB" w:eastAsia="en-US"/>
    </w:rPr>
  </w:style>
  <w:style w:type="paragraph" w:styleId="Footer">
    <w:name w:val="footer"/>
    <w:basedOn w:val="Normal"/>
    <w:link w:val="FooterChar"/>
    <w:uiPriority w:val="99"/>
    <w:rsid w:val="00877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CFF"/>
    <w:rPr>
      <w:rFonts w:asciiTheme="minorHAnsi" w:hAnsiTheme="minorHAnsi" w:cstheme="minorHAnsi"/>
      <w:color w:val="000000"/>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Swanepoel</dc:creator>
  <cp:lastModifiedBy>Shelley Swanepoel</cp:lastModifiedBy>
  <cp:revision>2</cp:revision>
  <dcterms:created xsi:type="dcterms:W3CDTF">2012-03-26T18:14:00Z</dcterms:created>
  <dcterms:modified xsi:type="dcterms:W3CDTF">2012-11-12T18:34:00Z</dcterms:modified>
</cp:coreProperties>
</file>